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A/1343/2013 vom 27. August 2013</w:t>
      </w:r>
    </w:p>
    <w:p>
      <w:r>
        <w:t>GE Cour de justice, 2013-08-27, FR</w:t>
      </w:r>
    </w:p>
    <w:p>
      <w:r>
        <w:rPr>
          <w:b/>
        </w:rPr>
        <w:t xml:space="preserve">Quelle: </w:t>
      </w:r>
      <w:r>
        <w:t>https://mcp.opencaselaw.ch/entscheid/ge_gerichte_A_1343_2013</w:t>
      </w:r>
    </w:p>
    <w:p>
      <w:r>
        <w:t>FR: GE_GERICHTE A/1343/2013 du 27 août 2013</w:t>
      </w:r>
    </w:p>
    <w:p>
      <w:r>
        <w:t>IT: GE_GERICHTE A/1343/2013 del 27 agosto 2013</w:t>
      </w:r>
    </w:p>
    <w:p>
      <w:pPr>
        <w:pStyle w:val="Heading2"/>
      </w:pPr>
      <w:r>
        <w:t>Erwägungen</w:t>
      </w:r>
    </w:p>
    <w:p>
      <w:r>
        <w:rPr>
          <w:b/>
        </w:rPr>
        <w:t>E. 1</w:t>
      </w:r>
    </w:p>
    <w:p>
      <w:r>
        <w:t>ère Chambre En la cause Madame B__________, domiciliée à GENEVE recourante contre SERVICE DES PRESTATIONS COMPLEMENTAIRES, sis route de Chêne 54, GENEVE intimé EN FAIT 1.        Madame B__________ (ci-après : l'assurée ou la recourante), née en 1941, a déposé le 3 juin 2004 auprès de l'OFFICE CANTONAL DES PERSONNES AGEES (devenu SERVICE DES PRESTATIONS COMPLEMENTAIRES – SPC) une demande de prestations complémentaires à sa rente de vieillesse.![endif]&gt;![if&gt; 2.        Des prestations lui ont été servies dès le 1 er juin 2004.![endif]&gt;![if&gt; 3.        Lorsque Monsieur C__________, né en 1941, a sollicité à son tour l'octroi de prestations le 7 février 2013, le SPC a appris qu'il partageait son logement avec l'assurée, ce que celle-ci n'avait pas annoncé. ![endif]&gt;![if&gt; 4.        Selon l'extrait CALVIN du registre de l'OFFICE CANTONAL DE LA POPULATION, les assurés sont tous deux domiciliés à la même adresse depuis le 1 er janvier 2000.![endif]&gt;![if&gt; 5.        Par décision du 22 février 2013, le SPC a réclamé à l'assurée le remboursement de la somme de 27'113 fr., représentant les prestations complémentaires, les subsides pour l'assurance-maladie de base et les frais médicaux, versés à tort du 1 er juin 2004 au 28 février 2013.![endif]&gt;![if&gt; 6.        Par décision sur opposition du 20 mars 2013, le SPC a réduit le montant réclamé à 26'298 fr. 30, compte tenu de la prise en considération d'un délai de prescription de sept ans seulement.![endif]&gt;![if&gt; 7.        L'assurée a interjeté recours le 27 mars 2013 contre ladite décision, alléguant que "je pense qu'il y a une grande confusion en stipulant que Monsieur C__________ vit chez moi depuis le 1 er janvier 2000. Il est vrai qu'en fonction de son travail de consultant indépendant, il était très souvent absent de Genève. Pour cette raison, il m'a sollicitée pour pouvoir recevoir son courrier à mon adresse. J'ai donné mon accord sans pour autant que cette personne soit domiciliée physiquement chez moi. J'en veux pour preuve le fait qu'il n'y a jamais eu de demande de ma part à la régie pour l'obtention d'un bail de cohabitation. Il est vrai qu'à ce jour, en fonction de l'arrêt de toute activité de sa part, il vit chez moi depuis le 1 er janvier 2013".![endif]&gt;![if&gt; 8.        Dans sa réponse du 29 mai 2013, le SPC a conclu au rejet du recours.![endif]&gt;![if&gt; 9.        La Cour de céans a ordonné la comparution personnelle des parties le 9 juillet 2013.![endif]&gt;![if&gt; L'assurée a notamment déclaré que "Monsieur C_________ est mon ami depuis 1995. Je considère qu'il ne vivait pas chez moi jusqu'au 1 er janvier 2013 parce qu'il partait souvent en voyage, dans toute la Suisse et en Roumanie par exemple. Il était rarement à Genève. Je ne voulais pas qu'il s'installe chez moi." Monsieur C__________, entendu le même jour, a confirmé que "j'ai depuis 1995 sauf erreur mon adresse chez Madame B__________ pour la poste et l'administration. J'étais avec Madame B__________ malgré quelques perturbations et je précise que je n'avais pas la possibilité d'avoir un appartement à Genève en raison de poursuites. J'ai eu une carrière quelque peu chaotique en raison de mon état de santé (problèmes cardiaques). J'ai effectivement beaucoup voyagé. J'ai notamment effectué un stage en Roumanie d'une année en 2002-2003. J'avais un mandat pour cela. Lorsque je revenais de voyage, je rentrais chez Madame B__________. Toutes mes affaires étaient chez elle. Lorsque Madame B__________ a déposé sa demande de prestations, je n'avais pas prêté attention au fait qu'elle n'avait pas parlé de moi." 10.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Le litige porte sur le bien-fondé de la décision de restitution des prestations versées du 1 er mars 2006 au 28 février 2013, à hauteur de 26'298 fr. 30. ![endif]&gt;![if&gt; 5.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2e).![endif]&gt;![if&gt; 6.        Quant aux prestations complémentaires cantonales, l’art. 24 al. 1 LPCC stipule que les prestations indûment touchées doivent être restituées. ![endif]&gt;![if&gt; 7.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165).![endif]&gt;![if&gt; 8.        En l'espèce, il est apparu que l'assurée n'avait pas annoncé au SPC qu'elle partageait son logement à Genève avec son compagnon. Or, il ne fait aucun doute, au vu de l'inscription de l'assuré auprès de l'Office cantonal de la population et des déclarations des assurés eux-mêmes, que le couple fait ménage commun depuis plusieurs années.![endif]&gt;![if&gt; Aux termes de l'art. 16c al. 1 et 2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En principe, le montant du loyer est réparti à parts égales entre toutes les personnes. Force est de constater à cet égard que les prestations complémentaires versées à l'assurée ont été calculées sans que le loyer n'ait été réparti entre deux personnes. Que l'assurée n'ait pas réalisé que cette information était déterminante pour calculer le montant des prestations qui lui était versé relève de l'examen de la bonne foi, à effectuer le cas échéant ultérieurement dans le cadre de la demande de remise. Il y a en effet lieu de rappeler que la restitution de prestations vise à rétablir une situation conforme en droit, sans égard à l'éventuelle bonne foi de l'assuré. Les conditions pour exiger la restitution des prestations indûment perçues sont ainsi remplies. 9.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![endif]&gt;![if&gt;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10.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(ATF du 14 août 2001, P 32/01). ![endif]&gt;![if&gt; 11.    En l'espèce, le SPC a appris le 7 février 2013 que l'assurée vivait avec son ami depuis le 1er janvier 2000. Il a rendu la décision litigieuse le 22 février 2013, de sorte qu'il a respecté le délai de péremption d'un an.![endif]&gt;![if&gt; L'obligation du SPC de procéder tous les 4 ans à la révision du dossier ne permet pas de fixer le début du délai de péremption d'un an de l'art. 25 LPGA à la date à laquelle la révision devait avoir lieu. Il appartenait en effet à l'assurée d'annoncer au SPC qu'elle vivait avec son ami. Le SPC n'avait aucune raison de soupçonner que tel était le cas, et partant de procéder à une enquête. On ne peut donc pas retenir qu'il aurait pu et dû, en faisant preuve de diligence, savoir qu'elle ne vivait pas seule. 12.    L'art. 25 al. 2 LPGA prévoit également que "le droit de demander la restitution s'éteint (…) au plus tard cinq ans après le versement de la prestation. Si la créance naît d'un acte punissable pour lequel le droit pénal prévoit un délai de prescription plus long, celui-ci est déterminant." Le délai de péremption absolu de cinq ans commence à courir à la date du versement effectif de la prestation (ATF 112 V 180 consid. 4a; 111 V 14 consid. 3).![endif]&gt;![if&gt; 13.    En réclamant à l'assurée le remboursement des prestations versées à tort depuis le 1 er mars 2006, le SPC a appliqué le délai de prescription pénal de sept ans.![endif]&gt;![if&gt; 14.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212 ; ATAS/3/2012 du 10 janvier 2012). ![endif]&gt;![if&gt; Pour que le délai de prescription plus long prévu par le droit pénal s'applique, il n'est pas nécessaire que l'auteur de l'infraction ait été condamné (ATF 118 V 193 consid. 4a; 113 V 256 consid. 4a; voir également ATF 122 III 225 consid. 4).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 15.    Afin de déterminer si le SPC peut demander la restitution des prestations versées depuis le 1 er mars 2006, il convient d'examiner si l'assurée s'est rendu coupable d'une escroquerie au sens de l'art. 146 CP.![endif]&gt;![if&gt; 16.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![endif]&gt;![if&gt;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En revanche, si l’administration ne s'est pas contentée de verser de manière routinière ses prestations à l'assuré, mais l'a conduit à s'exprimer une ou plusieurs fois sur sa situation financière, au moins par acte concluant ou silence qualifié, par exemple en l'amenant à renouveler sa demande, il faut admettre que celui-ci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non publié 6S.288/2000 précité reste pleinement applicable.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L’astuce au sens de l'art. 146 CP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La Cour de céans a admis la commission d'une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 pour l'adresse, une enquête approfondie n'étant pas systématiquement exigible de l'administration, et le seul moyen de vérification pour la qualité d'administrateur (ATAS 862/2011). Dans un arrêt du 10 janvier 2012, la Cour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 ATAS/3/2012 ).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Cour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 ATAS/654/2011 ). Cet arrêt a cependant été annulé par le TF, au motif que rien ne permettait au SPC d'envisager la modification survenue dans la situation financière de l'assuré (ATF 9C_622/2011 ; cf. également ATAS/914/2012 du 19 juillet 2012). 17.    En l'espèce, lors du dépôt de sa demande de prestations - le 3 juin 2004 - l'assurée a omis d'indiquer que l'assuré vivait chez elle depuis 2000.![endif]&gt;![if&gt; Elle a de la sorte violé son obligation d'informer le SPC d'un fait important et a ainsi commis une tromperie par omission. Reste à déterminer si cette violation est constitutive d'une tromperie astucieuse. Il y a à cet égard lieu de constater, d'une part, que le fait omis n'est pas un élément de revenu dont elle aurait sciemment caché l'existence au SPC et, d'autre part, que le fait que son ami s'absentait souvent en raison de ses obligations professionnelles, ainsi que son souhait de ne pas "officialiser" une situation qu'elle percevait comme fragile, et partant provisoire, l'ont confortée dans l'idée qu'il n'était en réalité pas domicilié chez elle, ce qui explique qu'elle n'en ait pas parlé lors de sa demande de prestations. Quoi qu'il en soit, le comportement de l'assurée, qui a certes tu une information déterminante pour l'établissement du montant des prestations qui lui sont versées, ne saurait toutefois à lui seul, constituer une tromperie astucieuse, vu l'absence de position de garant de sa part vis-à-vis du SPC (arrêt du Tribunal fédéral du 28 septembre 2000 précité; ATF 127 IV 163 , arrêt du Tribunal fédéral du 3 février 2012 précité; arrêt du Tribunal fédéral du 31 août 2012 8C 791/2011). On ne peut au surplus pas lui reprocher de n'avoir pas réagi aux informations générales reçues annuellement et qui mentionnaient le devoir d'annoncer tout changement dans sa situation personnelle et économique, puisque précisément aucun changement n'est survenu depuis sa demande de prestations. La Cour de céans estime, au vu de ce qui précède, que l'assurée ne s'est pas rendue coupable d'escroquerie, à défaut de dissimulation astucieuse. 18.    En conséquence, la prescription pénale n'est pas applicable en l'espèce. Seul peut être pris en considération le délai de cinq ans prévu à l'art. 25 al. 2 LPGA, de sorte que la demande de restitution portera sur la période débutant le 1er mars 2008, et non pas le 1 er mars 2006 tel que retenu par le SPC.![endif]&gt;![if&gt; 19.    Aussi le recours est-il partiellement admis et la décision du 20 mars 2013 est annulée en tant qu'elle réclame la restitution de prestations à compter du 1er mars 2006, et la cause est renvoyée au SPC pour nouveau calcul quant au montant versé à tort du 1 er mars 2008 au 28 février 2013 et nouvelle décision.![endif]&gt;![if&gt; 20.    Il y a enfin lieu de rappeler que la restitution ne peut être exigée lorsque l’intéressé était de bonne foi et qu’elle le mettrait dans une situation difficile (art. 25 al. 1 LPGA). La Cour de céans rappelle que la question de la bonne foi de l'assurée,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 8C_602/2007 du 13 décembre 2007; 264/05 du 25 janvier 2006, consid. 2.1; ATF 132 V 42 consid. 1.2).![endif]&gt;![if&gt; PAR CES MOTIFS, LA CHAMBRE DES ASSURANCES SOCIALES : Statuant A la forme : 1.        Déclare le recours recevable.![endif]&gt;![if&gt; Au fond : 2.        L'admet partiellement et annule la décision du 20 mars 2013 en tant qu'elle réclame la restitution de prestations à compter du 1er mars 2006.![endif]&gt;![if&gt; 3.        Renvoie la cause au SPC pour nouveau calcul quant au montant versé à tort du 1 er mars 2008 au 28 février 2013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