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A/133/2024 vom 28. Januar 2025</w:t>
      </w:r>
    </w:p>
    <w:p>
      <w:r>
        <w:t>GE Cour de justice, 2025-01-28, FR</w:t>
      </w:r>
    </w:p>
    <w:p>
      <w:r>
        <w:rPr>
          <w:b/>
        </w:rPr>
        <w:t xml:space="preserve">Quelle: </w:t>
      </w:r>
      <w:r>
        <w:t>https://mcp.opencaselaw.ch/entscheid/ge_gerichte_A_133_2024</w:t>
      </w:r>
    </w:p>
    <w:p>
      <w:r>
        <w:t>FR: GE_GERICHTE A/133/2024 du 28 janvier 2025</w:t>
      </w:r>
    </w:p>
    <w:p>
      <w:r>
        <w:t>IT: GE_GERICHTE A/133/2024 del 28 gennaio 2025</w:t>
      </w:r>
    </w:p>
    <w:p>
      <w:pPr>
        <w:pStyle w:val="Heading2"/>
      </w:pPr>
      <w:r>
        <w:t>Regeste</w:t>
      </w:r>
    </w:p>
    <w:p>
      <w:r>
        <w:t>DEVOIR DE COLLABORER;AMÉNAGEMENT DU TERRITOIRE ET DROIT PUBLIC DES CONSTRUCTIONS;5E ZONE;AUTORISATION DÉROGATOIRE(EN GÉNÉRAL);AFFECTATION;MAXIME INQUISITOIRE | Confirmation de la décision du département refusant de délivrer une autorisation de construire visant la régularisation de la construction d’une véranda-bureau en zone 5. La recourante a manqué à son devoir de collaboration et c’est sans verser dans l’arbitraire que l’autorité a statué en l’état du dossier. | LCI.2; LCI.59.al1; RCI.9; LaLAT.19.al3; LaLAT.26.al1; Cst; Cst; Cst; Cst; Cst; LPA.22; LPA.24; LPA.61.al1; LAT.22</w:t>
      </w:r>
    </w:p>
    <w:p>
      <w:pPr>
        <w:pStyle w:val="Heading2"/>
      </w:pPr>
      <w:r>
        <w:t>Erwägungen</w:t>
      </w:r>
    </w:p>
    <w:p>
      <w:r>
        <w:rPr>
          <w:b/>
        </w:rPr>
        <w:t>E. 34</w:t>
      </w:r>
    </w:p>
    <w:p>
      <w:r>
        <w:t>places, générant des nuisances bien plus importantes que celles de la véranda-bureau. Le caractère contradictoire de la décision litigieuse était manifeste, puisque les autorisations antérieures avaient été octroyées sur dérogation. Ces éléments démontraient que l’activité exercée dans la véranda-bureau ne créait pas de nuisances graves, comme l’absence de plaintes du voisinage l’attestait. Le département aurait dû analyser et valider les conditions de l’art. 26 al. 1 LaLAT, en cohérence avec les autorisations précédemment délivrées. d.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149 LCI). 2. L’objet du litige porte sur le refus de délivrance de l’autorisation de construire (DD 3______ et les infractions y relatives I-6______ et I-4______) visant à la régularisation de la construction d’une véranda-bureau. 2.1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ATA/349/2021 du 23 mars 2021 consid. 3).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1P_269/2001 du 7 juin 2001 consid. 2c). 2.2 Selon l’art. 22 LAT, aucune construction ou installation ne peut être créée ou transformée sans autorisation de l’autorité compétente (al. 1). L’autorisation est délivrée si : a) la construction ou l’installation est conforme à l’affectation de la zone ; b) le terrain est équipé (al. 2). Le droit fédéral et le droit cantonal peuvent poser d’autres conditions (al. 3). Le droit cantonal règle les exceptions prévues à l’intérieur de la zone à bâtir (art. 23 LAT). 2.3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Dès que les conditions légales sont réunies, le département est tenu de délivrer l’autorisation de construire (art. 1 al. 6 LCI). 2.4 La 5 e zone est une zone résidentielle destinée aux villas (art. 19 al. 3 LaLAT). En 5 e zone,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(art. 19 al. 3 in fine LaLAT). Il ressort des délibérations du Grand Conseil que cet article, tel qu’il a été adopté le 22 janvier 1988, vise à permettre une activité sans nuisances dans les zones villas. Seule une partie de la maison peut être utilisée à des fins professionnelles pour être certain que le caractère d’habitation reste prépondérant. Il n’est pas souhaitable que cette disposition permette par exemple à une personne, sous le couvert d’une boîte aux lettres, de transformer une villa en bureaux, bien qu’y étant domiciliée (Mémorial des séances du Grand Conseil, 1988, pp. 596 ss). 2.5 L’art. 26 al. 1 LaLAT, applicable par renvoi de l’art. 23 LAT, autorise le département à déroger aux dispositions des art. 18 et 19 LaLAT quant à la nature des constructions lorsque les circonstances le justifient et s’il n’en résulte pas d’inconvénients graves pour le voisinage. La notion de circonstances particulières au sens de l’art. 26 al. 1 LaLAT est un concept juridique indéterminé laissant une certaine latitude à l’autorité administrative, laquelle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ATA/95/2022 du 1 er février 2022 consid. 7d ; ATA/639/2020 du 30 juin 2020 consid. 4d). Le principe de la proportionnalité prend une place majeure et impose une pesée des intérêts militant pour et contre la mesure en cause ( ATA/95/2022 précité consid. 7d ; ATA/639/2020 précité consid. 4d ; ATA/1460/2017 du 31 octobre 2017 consid. 2b et les références citées). Selon la jurisprudence, il convient d’adopter une interprétation restrictive de l’art. 26 al. 1 LaLAT, en tout cas lorsque l’on entend l’appliquer à la 5 e zone. En effet, la condition de l’absence d’inconvénients graves pour le voisinage est identique à celle qui est posée pour la tolérance d’activités professionnelles dans une partie d’une habitation (art. 19 al. 3 2 ème phr.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 ATA/653/2021 du 22 juin 2021 consid. 6e et les références citées). 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 ATA/653/2021 précité, consid. 6d). 2.6 À teneur de l’art. 2 LCI,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Feuille d’avis officielle de la République et canton de Genève (ci-après : FAO) doivent être établis et signés par une personne inscrite au tableau des MPQ dans la catégorie correspondant à la nature de l’ouvrage, au sens de la loi sur l’exercice des professions d’architecte et d’ingénieur du 17 décembre 1982 (LPAI - L 5 40 ; art. 2 al. 3 LCI). 2.7 La demande définitive doit être adressée au département sur formule officielle, en dix exemplaires (art. 9 al. 1 1 ère phrase RCI). Il y a lieu de joindre notamment les plans et documents suivants : b) extrait du plan cadastral conforme aux al. 2 et 4 de l’art. 7 de l’ordonnance fédérale sur la mensuration officielle du 18 novembre 1992 (OMO - RS 211.432.2), obtenu soit sur le guichet cartographique de la mensuration officielle, soit auprès d’un ingénieur-géomètre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La signature du plan cadastral par un ingénieur-géomètre officiel est obligatoire, sauf lorsque l’objet de la demande porte uniquement sur la transformation, la rénovation ou le changement d’affectation d’une construction (art. 9 al. 2 RCI).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ATA/997/2023 du 12 septembre 2023 consid. 3.2).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 2.8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 ). 2.9 Selon la teneur de l’art. 59 al. 1 LCI, la surface de la construction, exprimée en m 2 de plancher, ne doit pas excéder 25% de la surface de la parcelle. Cette surface peut être portée à 27.5% lorsque la construction est conforme à un standard de haute performance énergétique, respectivement à 30% lorsque la construction est conforme à un standard de très haute performance énergétique, reconnue comme telle par le service compétent. Ces pourcentages sont également applicables aux constructions rénovées qui respectent l’un de ces standards. L’art. 59 al. 2 LCI prévoit que, par surface de plancher prise en considération dans le calcul du rapport des surfaces, il faut entendre la SBP de la totalité de la construction hors sol. 2.10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ATA/206/2024 du 13 février 2024 consid. 4.4 ; ATA/486/2023 du 9 mai 2023 consid. 6.1.1 et les références citées). Chaque fois que l’autorité administrative suit les préavis des instances consultatives, l’autorité de recours observe une certaine retenue, fonction de son aptitude à trancher le litige ( ATA/206/2024 précité consid. 4.4 ; ATA/1296/2022 du 20 décembre 2022 consid. 6c ; Thierry TANQUEREL, Manuel de droit administratif, 2 e éd.,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ATA/206/2024 précité consid. 4.4 ; ATA/423/2023 du 25 avril 2023 consid. 5.2). 2.11 En application de la maxime inquisitoire, qui prévaut en particulier en droit public (art. 19 et 20 LPA), l’autorité définit les faits pertinents et ne tient pour existants que ceux qui sont dûment prouvés Les parties sont tenues de collaborer à la constatation des faits dans les procédures qu’elles introduisent elles-mêmes, dans celles où elles y prennent des conclusions indépendantes ainsi que dans les autres cas prévus par la loi (art. 22 LPA). L’art. 24 LPA prévoit que l’autorité peut inviter les parties à la renseigner, notamment en produisant les pièces en leur possession ou à se prononcer sur les faits constatés ou allégués et leur fixer un délai à cet effet (al. 1). L’autorité apprécie librement l’attitude d’une partie qui refuse de produire une pièce ou d’indiquer où celle-ci se trouve. Elle peut ainsi le cas échéant déclarer irrecevable les conclusions des parties qui refusent de produire des pièces et autres renseignements indispensables pour que l’autorité puisse prendre sa décision (al. 2). La maxime inquisitoire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 En cas d’absence de production des documents nécessaires, le risque de se voir reprocher son défaut de collaboration dans une procédure régie par la maxime inquisitoire existe (ATF 130 II 425 consid. 6.6). 2.12 En l’espèce, la recourante reproche à l’intimé de ne pas avoir procédé à une analyse concrète des conditions de dérogation prévues aux art. 26 al. 1 et 19 al. 3LaLAT, estimant également que la documentation complémentaire sollicitée par l’intimé n’était pas pertinente, dans la mesure où les conditions d’une dérogation seraient remplies. Comme cela ressort du dossier ainsi que du jugement de première instance, ce n’est pas tant la réalisation des conditions de dérogation qui fait défaut, mais bien le manque de collaboration de la recourante et ce, pas uniquement sur la question de la dérogation. En effet, la lecture du dossier permet de constater que, dès le début de l’instruction, la recourante n’a pas fourni tous les documents requis. Ainsi, dès l’examen des préavis, plusieurs autorités ont indiqué avoir besoin de documents complémentaires, qui n’ont jamais été transmis par la recourante. L’intimé lui a en effet adressé, le 4 décembre 2019, les préavis relatifs à la demande, y compris ceux où il était expressément indiqué que des documents complémentaires étaient nécessaires pour se déterminer, tels que ceux du SMS, des offices cantonaux de l’eau, de l’énergie ; de l’agriculture et de la nature, de l’environnement ou encore de l’office des autorisations de construire. Au terme du premier délai de 30 jours octroyé par l’intimé, la recourante n’a pas donné suite. Si le changement d’architecte annoncé par la recourante en février 2021 peut expliquer certains retards pris dans la procédure, il ne peut, à lui seul, justifier le manque de collaboration de la recourante. En effet, comme le souligne à juste titre le TAPI, de nombreux délais ont été octroyés à la recourante depuis cette date pour se mettre en conformité avec les demandes de l’intimé (10 novembre 2022 ; 28 février 2023 ; 15 avril 2023 ; 25 août 2023 ; 29 septembre 2023). La recourante n’a, malgré ceux-ci, jamais envoyé les documents demandés, sans jamais remettre en cause, jusqu’à son recours devant la chambre de céans, la pertinence de ces demandes. En outre, le 30 août 2023, sans nouvelles de la part de la recourante, l’intimé a ordonné la production de plusieurs documents (plans, autorisation de construire complète). La recourante a, à nouveau, sollicité plusieurs délais, sans toutefois se conformer à son obligation de collaborer. C’est donc en l’état du dossier que l’intimé a été obligé de statuer et de refuser la demande, conséquence dont la recourante avait été avertie. L’analyse du TAPI, selon laquelle l’intimé n’a pas versé dans l’arbitraire en rendant sa décision, ne peut, au vu de ce qui précède, prêter le flanc à la critique. Les arguments avancés par la recourante pour tenter de justifier son manque de collaboration ne sont pas convaincants. Comme le souligne le TAPI, la demande de régularisation ayant été déposée le 18 septembre 2019 et de nombreux délais ayant été accordés à la recourante, ni une prétendue surcharge de travail due aux multiples demandes de l’intimé, ni une surcharge de travail du mandataire de la recourante ne sont de nature à justifier l’absence de collaboration de cette dernière pendant quatre années. Pour prendre sa décision, le département se fonde sur le contenu de la demande et des documents qui lui sont adressés. Or, à teneur de ceux-ci, le projet ne remplissait pas les exigences des art. 22 al. 2 let. 1 LAT, 19 al. 3 LaLAT et de l’art. 59 LCI. Il est dès lors difficile d’envisager comment l’intimé aurait pu rendre une décision favorable sans être au fait de tous les éléments pertinents, notamment au sens de l’art. 1 al. 6 LCI. La question de savoir si le projet répond aux critères de dérogation prévus par les dispositions précédemment citées peut rester indécise, la recourante n’ayant pas fourni la documentation permettant à l’intimé de se prononcer en toute connaissance de cause sur les autres conditions. Les critiques formulées par la recourante quant à la pertinence des demandes de complément de l’intimé seront écartées. En effet, si elle considérait cette requête comme dénuée de pertinence, elle aurait dû faire part de ses remarques à l’intimé en temps utile et non pas attendre la présente procédure. De plus, la juridiction de recours ne saurait se substituer aux services spécialisés pour déterminer les pièces et informations dont ces derniers ont besoin pour émettre un préavis ou prendre une décision. Par conséquent, la décision querellée sera confirmée. La recourante ayant manqué de manière manifeste à son devoir de collaboration, c’est sans verser dans l’arbitraire que l’intimé a statué en l’état du dossier et refusé d’octroyer l’autorisation de construire litigieuse. Comme l’a déjà souligné l’instance précédente, il sera rappelé que l’intimé a été mis devant le fait accompli, les constructions ayant été érigées sans autorisation. L’absence de collaboration des parties ne saurait empêcher, dans ce cas, le département de statuer, au risque d’encourager les comportements abusifs. Les administrés pourraient, en effet, profiter des constructions non autorisées le temps souhaité, en ne donnant simplement pas suite aux requêtes du département. Enfin, il ne peut être accordé de dérogation sur la base d’un dossier incomplet, et qui ne permet pas aux instances de préavis d’analyser la situation. 3. La recourante reproche encore au département d’avoir violé les principes de la bonne foi et de l’égalité de traitement. 3.1 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 Jacques DUBEY, Droits fondamentaux, vol. 2, 2018, p. 642 n. 3454).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 3.2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 3.3 En l’espèce, il ne ressort pas des éléments versés au dossier que l’autorité intimée aurait pris un engagement concret vis-à-vis de la recourante quant à l’octroi d’une autorisation de construire portant sur la régularisation de la véranda-bureau. Le fait que l’autorité intimée ait, par le passé, délivré des autorisations de construire sur dérogation pour des projets de la recourante en zone 5 ne constitue pas un blanc‑seing pour tous les projets soumis par la suite. Dès lors, c’est à juste titre que le TAPI a retenu qu’aucune violation du principe de bonne foi par l’intimé n’était à constater. La recourante allègue qu’elle aurait fait l’objet d’une inégalité de traitement. Or, d’une part, elle ne peut tirer aucun droit d’un dossier décrit pas plusieurs instances comme largement incomplet et ne leur permettant pas de procéder à l’analyse de la situation, et d’autre part, il ne ressort pas de l’article de presse versé au dossier par la recourante que le cas de l’établissement évoqué soit identique, ni même similaire au sien. Comme le souligne le TAPI, l’autorisation de construire de l’établissement en question portait sur une villa déjà existante et non sur une nouvelle construction, telle que le projet litigieux. Partant, c’est à bon droit que le TAPI a écarté ce grief. Entièrement mal fondé, le recours sera rejeté. 4. Vu l’issue du litige, un émolument de CHF 1'000.-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