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A/1337/2021 vom 27. Juni 2022</w:t>
      </w:r>
    </w:p>
    <w:p>
      <w:r>
        <w:t>GE Cour de justice, 2022-06-27, FR</w:t>
      </w:r>
    </w:p>
    <w:p>
      <w:r>
        <w:rPr>
          <w:b/>
        </w:rPr>
        <w:t xml:space="preserve">Quelle: </w:t>
      </w:r>
      <w:r>
        <w:t>https://mcp.opencaselaw.ch/entscheid/ge_gerichte_A_1337_2021</w:t>
      </w:r>
    </w:p>
    <w:p>
      <w:r>
        <w:t>FR: GE_GERICHTE A/1337/2021 du 27 juin 2022</w:t>
      </w:r>
    </w:p>
    <w:p>
      <w:r>
        <w:t>IT: GE_GERICHTE A/1337/2021 del 27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Interjeté dans les formes et délai prévus par la loi, le recours est recevable (art. 60 LPGA). ![endif]&gt;![if&gt;</w:t>
      </w:r>
    </w:p>
    <w:p>
      <w:r>
        <w:rPr>
          <w:b/>
        </w:rPr>
        <w:t>E. 3</w:t>
      </w:r>
    </w:p>
    <w:p>
      <w:r>
        <w:t>Le litige porte sur le droit du recourant à des prestations de l'intimée en raison d'une maladie professionnelle.![endif]&gt;![if&gt;</w:t>
      </w:r>
    </w:p>
    <w:p>
      <w:r>
        <w:rPr>
          <w:b/>
        </w:rPr>
        <w:t>E. 4</w:t>
      </w:r>
    </w:p>
    <w:p>
      <w:r>
        <w:t>Selon l'art. 6 al. 1 LAA, les prestations d'assurance sont en principe allouées en cas d'accident professionnel, d'accident non professionnel et de maladie professionnelle.![endif]&gt;![if&gt;</w:t>
      </w:r>
    </w:p>
    <w:p>
      <w:r>
        <w:rPr>
          <w:b/>
        </w:rPr>
        <w:t>E. 4.1</w:t>
      </w:r>
    </w:p>
    <w:p>
      <w:r>
        <w:t>L’art. 9 LAA dispose que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(al. 3).![endif]&gt;![if&gt; Aux termes de l’art. 14 de l’ordonnance sur l’assurance-accidents (OLAA – RS 832.202), les substances nocives et les maladies dues à certains travaux au sens de l’art. 9 al. 1 LAA sont énumérées à l’annexe 1.</w:t>
      </w:r>
    </w:p>
    <w:p>
      <w:r>
        <w:rPr>
          <w:b/>
        </w:rPr>
        <w:t>E. 4.2</w:t>
      </w:r>
    </w:p>
    <w:p>
      <w:r>
        <w:t>L'art. 9 al. 2 LAA constitue une clause générale visant à combler les lacunes qui pourraient résulter de ce que la liste dressée par le Conseil fédéral à l'annexe 1 de l’OLAA, ne mentionne pas une substance nocive qui a causé une maladie ou une maladie causée par l'exercice de l'activité professionnelle. Selon la jurisprudence, la condition d'un lien exclusif ou nettement prépondérant au sens de l'art. 9 al. 2 LAA - parfois appelé causalité qualifiée - n'est réalisée que si la maladie a été causée à 75% au moins par l'exercice de l'activité professionnelle (ATF 126 V 183 consid. 2b ; ATF 116 V 136 consid. 5a ; arrêt du Tribunal fédéral 8C_800/2019 du 18 novembre 2020 consid. 3.1.2 ; arrêt du Tribunal fédéral 8C_757/2018 du 28 mars 2019 consid. 4c ; arrêt du Tribunal fédéral 8C_215/2018 du 4 septembre 2018 consid. 3.2). La preuve de l'existence d'une cause professionnelle à plus de 75% ne peut être admise que si l'état de la science médicale permet d'inférer que cette causalité professionnelle ne peut être exclue avec une maladie particulière en lien avec une activité professionnelle donnée, en ce sens que les statistiques épidémiologiques et expériences cliniques, démontrent que les cas de lésions pour un groupe professionnel déterminé ne sont pas quatre fois plus nombreux que ceux enregistrés dans la population en général (1), et que la cause professionnelle d’une maladie apparait établie dans le cas particulier (2) (ATF 126 V 183 consid. 4c ; arrêt du Tribunal fédéral 8C_516/2020 du 3 février 2021 consid. 3.2.1 et 3.2.2 ; arrêt du Tribunal fédéral 8C_117/2016 du 27 janvier 2017 consid. 3.2.2 ; arrêt du Tribunal fédéral 8C_507/2015 du 6 janvier 2016 consid. 2.2 ; arrêt du Tribunal fédéral 8C_746/2012 du 29 octobre 2012 consid. 5). Ainsi, le point de savoir si une affection est une maladie professionnelle au sens de l'art. 9 al. 2 LAA est également une question relevant de la preuve dans un cas concret (arrêt du Tribunal fédéral 8C_507/2015 du 6 janvier 2016 consid. 2.2). Un lien possible entre l'affection et l'activité professionnelle ne présage en rien de l'existence d'un lien de causalité qualifiée au sens de l'art. 9 al. 2 LAA dans le cas concret (arrêt du Tribunal fédéral 8C_757/2018 du 28 mars 2019 consid. 4.4).![endif]&gt;![if&gt;</w:t>
      </w:r>
    </w:p>
    <w:p>
      <w:r>
        <w:rPr>
          <w:b/>
        </w:rPr>
        <w:t>E. 4.3</w:t>
      </w:r>
    </w:p>
    <w:p>
      <w:r>
        <w:t>L'épicondylite ne figure pas dans la liste des maladies de l’Annexe 1 OLAA et ne peut donc être reconnue comme maladie professionnelle que dans le cadre de la clause générale de l'art. 9 al. 2 LAA. Pendant de nombreuses années, la SUVA reconnaissait l'épicondylite comme maladie professionnelle sous certaines conditions et cette pratique a été modifiée par la suite. Le Tribunal fédéral est arrivé à la conclusion qu'en l'état actuel des connaissances scientifiques, il n'était pas possible d'exclure de manière générale le caractère de maladie professionnelle à l'épicondylite, de sorte que la question devait être appréciée de cas en cas en fonction de différents critères d'évaluation (arrêt du Tribunal fédéral 8C_516/2020 du 3 février 2021 consid. 3.2.5; arrêt du Tribunal fédéral 8C_117/2016 du 27 janvier 2017 consid. 6). Le Tribunal fédéral a suivi cette position dans tous les cas de figure concernant l'épicondylite radiale (Thomas FLÜCKIGER in HÜRZELER / KIESER [éd.], UVG, Bundesgesetz über die Unfallversicherung, 2018, n. 48 ad art. 9 LAA; arrêt du Tribunal fédéral 8C_117/2016 du 27 janvier 2017 consid. 6).![endif]&gt;![if&gt;</w:t>
      </w:r>
    </w:p>
    <w:p>
      <w:r>
        <w:rPr>
          <w:b/>
        </w:rPr>
        <w:t>E. 5</w:t>
      </w:r>
    </w:p>
    <w:p>
      <w:r>
        <w:t>![endif]&gt;![if&gt;</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références).![endif]&gt;![if&gt;</w:t>
      </w:r>
    </w:p>
    <w:p>
      <w:r>
        <w:rPr>
          <w:b/>
        </w:rPr>
        <w:t>E. 5.4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3b/ee).![endif]&gt;![if&gt;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5.5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références).![endif]&gt;![if&gt;</w:t>
      </w:r>
    </w:p>
    <w:p>
      <w:r>
        <w:rPr>
          <w:b/>
        </w:rPr>
        <w:t>E. 5.6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3.2.1).![endif]&gt;![if&gt;</w:t>
      </w:r>
    </w:p>
    <w:p>
      <w:r>
        <w:rPr>
          <w:b/>
        </w:rPr>
        <w:t>E. 5.7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Un renvoi à l’administration apparaît en général approprié si celle-ci s’est soustraite à son devoir d’instruire, respectivement si celle-ci a constaté les faits de façon sommaire, dans l’idée que le tribunal les éclaircirait en cas de recours (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 er février 2019 consid. 8c). Il ne revient un effet pas à la chambre de céans de procéder à une instruction détaillée en lieu et place du personnel spécialisé des autorités sociales compétentes (en ce sens : ATF 146 V 240 consid. 8.3.2), d’autant que cela aurait pour conséquence de priver les assurés concernés d’un degré de juridiction (comparer pour le Tribunal fédéral : ATF 147 I 89 consid. 1.2.5) et d’affaiblir le devoir constitutionnel de motivation sérieuse de l’autorité (en ce sens : ATF 146 V 240 consid. 8.3.2).</w:t>
      </w:r>
    </w:p>
    <w:p>
      <w:r>
        <w:rPr>
          <w:b/>
        </w:rPr>
        <w:t>E. 7</w:t>
      </w:r>
    </w:p>
    <w:p>
      <w:r>
        <w:t>En l'espèce, il convient d’examiner les différentes atteintes invoquées par le recourant.![endif]&gt;![if&gt; Ce dernier a commencé à souffrir de douleurs à l'épaule et au coude droits à partir de l'accident survenu le 5 janvier 2014. Les diagnostics suivants ont été posés pour les atteintes au coude droit par l’expert judiciaire F______ : une calcification et ossification de l'insertion du tendon du triceps sur l'olécrane, dans une moindre mesure, des tendons fléchisseurs au niveau de l'épicondyle interne du coude droit ; l'apparition d'un kyste arthro-synovial ; et un status post contusion et développement d'une épicondylite latérale post-traumatique avec résolution quasiment complète. Le fait que ces atteintes ne constituent pas des affections réputées maladie professionnelle au sens de l'art. 9 al. 1 LAA selon la liste exhaustive établie par le Conseil fédéral (annexe 1 à l'OLAA) n’est pas litigieux. Il y a dès lors lieu de déterminer si, en vertu de l'art. 9 al. 2 LAA, ces affections ont été causées de façon prépondérante par l’activité de sertisseur du recourant.</w:t>
      </w:r>
    </w:p>
    <w:p>
      <w:r>
        <w:rPr>
          <w:b/>
        </w:rPr>
        <w:t>E. 7.1</w:t>
      </w:r>
    </w:p>
    <w:p>
      <w:r>
        <w:t>Le recourant estime qu'il est victime d'une maladie professionnelle que l'intimée doit prendre en charge, l'apparition d'un kyste arthro-synovial et les calcifications étant dues aux contraintes répétitives au niveau de son coude droit. Il s'appuie sur l'expertise du Dr F______ qui indique que les calcifications au niveau du coude droit ont pour origine l'activité de sertisseur, ce d’autant que ce coude avait été utilisé de manière accrue et qu’il n'existait pas d'atteinte dégénérative au niveau du coude gauche. En se basant sur la littérature médicale, le recourant remet en cause l’avis du Dr H______ selon lequel les enthésopathies sont banales dans sa tranche d'âge, dans la mesure où seul un nombre restreint de personnes souffre d'épicondylite latérale. Les facteurs de risque pour développer une épicondylite latérale sont surtout occupationnels et comprennent, en outre, les mouvements de pronation / supination des poignets avec les coudes en extension pendant plus de 2h par jour. Dès lors qu'il y a, de l’opinion du recourant, 99% de chances que son atteinte à la santé soit issue de son activité professionnelle, son cas doit être pris en charge sous l'angle de la maladie professionnelle. ![endif]&gt;![if&gt;</w:t>
      </w:r>
    </w:p>
    <w:p>
      <w:r>
        <w:rPr>
          <w:b/>
        </w:rPr>
        <w:t>E. 7.2</w:t>
      </w:r>
    </w:p>
    <w:p>
      <w:r>
        <w:t>L'intimée se fonde sur les rapports des Drs H______ et I______, établis sur la base de l'examen complet du dossier du recourant, et estime que les enthésopathies dont souffre le recourant sont relativement fréquentes avec l'âge et que la relation de causalité entre l'hyper-sollicitation articulaire et la survenue des kystes synoviaux n'est que suspectée. Le recourant n'a eu une activité liée au sertissage que de manière ponctuelle depuis 2006 et a bénéficié d’un aménagement ergonomique pour augmenter son confort sur son lieu de travail. Dans ces conditions, on ne pouvait retenir une relation de causalité entre l'activité professionnelle du recourant et les troubles présentés, avec une vraisemblance nettement prépondérante nécessaire pour une reconnaissance d’une maladie professionnelle.![endif]&gt;![if&gt;</w:t>
      </w:r>
    </w:p>
    <w:p>
      <w:r>
        <w:rPr>
          <w:b/>
        </w:rPr>
        <w:t>E. 8</w:t>
      </w:r>
    </w:p>
    <w:p>
      <w:r>
        <w:t>Il ressort de l’instruction de la cause que l’atteinte au coude droit de l’assuré fait l’objet d’appréciations médicales divergentes. ![endif]&gt;![if&gt;</w:t>
      </w:r>
    </w:p>
    <w:p>
      <w:r>
        <w:rPr>
          <w:b/>
        </w:rPr>
        <w:t>E. 8.1</w:t>
      </w:r>
    </w:p>
    <w:p>
      <w:r>
        <w:t>Le Dr F______, dont la valeur probante de l'expertise judiciaire a été reconnue par la chambre de céans ( ATAS/734/2019 ), a relevé que les insertionites chroniques du tendon du triceps sur l'olécrane avec calcification / ossification au site d'insertion et, dans une moindre mesure, les tendons fléchisseurs au niveau de l'épicondyle interne de ce coude droit, témoignent d'une intense utilisation de ce coude droit impliquant probablement des mouvements répétitifs contre résistance de ces divers groupes musculaires et tendineux. Ces stigmates d'une surcharge chronique de l'articulation concernée peuvent engendrer une dégénérescence de l'articulation concernée avec une éventuelle apparition de kystes (Ganglion cyst). Le kyste arthro-synovial (Ganglion cyst) est la manifestation d'une atteinte dégénérative du coude droit, ce qui se comprend en considérant le passé professionnel du recourant ayant travaillé comme sertisseur pendant de longues années avec des contraintes répétitives au niveau de son coude. Pour le Dr F______, la cause de la maladie du recourant semble donc clairement provenir de l’activité professionnelle. Cependant, il n’a pas examiné en particulier cette question dès lors que sa mission d’expertise portait sur le lien entre les atteintes à la santé subies par l’assuré en relation avec l’accident du 5 janvier 2014.![endif]&gt;![if&gt;</w:t>
      </w:r>
    </w:p>
    <w:p>
      <w:r>
        <w:rPr>
          <w:b/>
        </w:rPr>
        <w:t>E. 8.2</w:t>
      </w:r>
    </w:p>
    <w:p>
      <w:r>
        <w:t>Le Dr H______ a conclu, le 6 janvier 2021, que les données actuellement disponibles n'indiquent pas que l'activité du recourant implique une sur-sollicitation du coude suffisante pour retenir une relation de causalité nettement prépondérante dans la survenue d'une tendinite au coude. Cette appréciation repose sur l'étude du dossier médical du recourant, sur la littérature médicale ainsi que sur le rapport interne de l'intimée du 6 février 2020 rendu dans le cadre d'un mandat d'observation ergonomique d'un poste de sertissage pour un autre assuré. ![endif]&gt;![if&gt; Dans son appréciation médicale du 16 juin 2021, le Dr I______ s'est rallié à la conclusion du Dr H______ et a contesté l'avis du Dr F______ dans la mesure où les pathologies constatées au niveau du coude droit ne peuvent témoigner d'un passé pouvant être lié à l'activité professionnelle du recourant dès lors que celui-ci présente d'autres troubles dégénératifs, notamment au niveau de son rachis dorsal et de son épaule droite. Dans son appréciation du 20 janvier 2022, le Dr I______ a contesté l'utilité du rapport interne de l'intimée du 6 février 2020, dans la mesure où la situation du cas observé n'était pas comparable à celle du recourant et que les observations ainsi que les explications succinctes de ce rapport n'avaient pas de grande utilité. Or, cette position remet en cause les arguments du Dr H______, ce dernier ayant basé une partie de son analyse sur ce rapport interne pour conclure qu'on ne pouvait admettre une maladie professionnelle pour les atteintes du coude droit du recourant. Dès lors, la position du Dr I______, qui se rallie aux conclusions du Dr H______ alors même qu'il propose de ne pas tenir compte d'une partie de l’argumentation de celui-ci, parait incohérente. Suite à la demande de la chambre de céans de se prononcer sur l'expertise orthopédique du Dr F______ du 1 er avril 2019 au regard de la maladie professionnelle, le Dr I______ a fait appel au Dr J______ qui, dans son rapport du 12 janvier 2022, n'a pas répondu à la question initiale. En effet, ce dernier a conclu que les lésions du coude droit du recourant n'étaient pas d'origine traumatique, mais ne s'est pas prononcé sur la question d'une éventuelle maladie professionnelle, mentionnant seulement que l'enthésopathie calcifiante pouvait apparaître de manière spontanée avec l'âge. Cette information générale ne permet pas de répondre à la question de savoir si les atteintes du recourant sont constitutives d'une maladie professionnelle, et ne permet pas de remettre sérieusement en doute l'analyse du Dr F______ dans son expertise judiciaire. Enfin, le rapport du 13 janvier 2022 du Dr I______ précise qu'il existe des cas d'épicondylite remplissant les critères d’une maladie professionnelle pour des assurés exerçant des activités lucratives avec des mouvements analogues à ceux effectués par des sertisseurs, soit le métier du recourant, ce qui va plutôt dans le sens d’une hypothèse possible de la maladie professionnelle. Le fait, comme relevé par le Dr I______ dans sa dernière appréciation du 15 février 2022, que l’enthésopathie calcifiante et le kyste arthro-synovial soient associés à des troubles dégénératifs ne permet pas, en soi, d’exclure la présence d’une maladie professionnelle, ce d’autant que l’intimée elle-même allègue que des cas d’épicondylite ont été reconnus comme maladie professionnelle.</w:t>
      </w:r>
    </w:p>
    <w:p>
      <w:r>
        <w:rPr>
          <w:b/>
        </w:rPr>
        <w:t>E. 8.3</w:t>
      </w:r>
    </w:p>
    <w:p>
      <w:r>
        <w:t>Au vu de ce qui précède, il convient d'admettre que des doutes subsistent quant aux conclusions prises par les médecins conseils de l'intimée. Compte tenu de la jurisprudence précitée et des différents rapports médicaux produits au dossier, dont l’expertise du Dr F______ qui atteste d’un lien entre ces atteintes et l’activité professionnelle du recourant, des investigations complémentaires sont nécessaires en vue d'établir, dans le cas d'espèce, l'existence ou non d'une causalité qualifiée entre les atteintes alléguées et l'activité professionnelle du recourant.![endif]&gt;![if&gt;</w:t>
      </w:r>
    </w:p>
    <w:p>
      <w:r>
        <w:rPr>
          <w:b/>
        </w:rPr>
        <w:t>E. 9</w:t>
      </w:r>
    </w:p>
    <w:p>
      <w:r>
        <w:t>S’agissant de la demande de révision, elle ne peut qu’être déclarée irrecevable, dès lors que l’arrêt du 19 août 2019 ( ATAS/734/2019 ) a fait l’objet d’un arrêt du Tribunal fédéral, lequel a absorbé l’arrêt de la chambre de céans (ATF 144 I 208 ; ATAS/466/2021 ). Elle sera en conséquence transmise au Tribunal fédéral comme objet de sa compétence.![endif]&gt;![if&gt;</w:t>
      </w:r>
    </w:p>
    <w:p>
      <w:r>
        <w:rPr>
          <w:b/>
        </w:rPr>
        <w:t>E. 10</w:t>
      </w:r>
    </w:p>
    <w:p>
      <w:r>
        <w:t>Partant, le recours est partiellement admis, la décision sur opposition du 10 mars 2021 annulée et la cause renvoyée à l'intimée pour qu'elle complète l'instruction dans le sens qui précède, puis rende une nouvelle décision. La demande en révision sera déclarée irrecevable et transmise au Tribunal fédéral comme objet de sa compétence.![endif]&gt;![if&gt;</w:t>
      </w:r>
    </w:p>
    <w:p>
      <w:r>
        <w:rPr>
          <w:b/>
        </w:rPr>
        <w:t>E. 11</w:t>
      </w:r>
    </w:p>
    <w:p>
      <w:r>
        <w:t>Pour le surplus, la procédure est gratuite (art. 89H al. 1 LPA et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