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A/1322/2025 vom 11. November 2025</w:t>
      </w:r>
    </w:p>
    <w:p>
      <w:r>
        <w:t>GE Cour de justice, 2025-11-11, FR</w:t>
      </w:r>
    </w:p>
    <w:p>
      <w:r>
        <w:rPr>
          <w:b/>
        </w:rPr>
        <w:t xml:space="preserve">Quelle: </w:t>
      </w:r>
      <w:r>
        <w:t>https://mcp.opencaselaw.ch/entscheid/ge_gerichte_A_1322_2025</w:t>
      </w:r>
    </w:p>
    <w:p>
      <w:r>
        <w:t>FR: GE_GERICHTE A/1322/2025 du 11 novembre 2025</w:t>
      </w:r>
    </w:p>
    <w:p>
      <w:r>
        <w:t>IT: GE_GERICHTE A/1322/2025 del 11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de 30 jours prévus par la loi, le recours est recevable (art. 60 al. 1 et 61 let. b LPGA ; art. 62 al. 1 let. a, 89A et 89B de la loi sur la procédure administrative du 12 septembre 1985 - LPA - E 5 10).</w:t>
      </w:r>
    </w:p>
    <w:p>
      <w:r>
        <w:rPr>
          <w:b/>
        </w:rPr>
        <w:t>E. 2</w:t>
      </w:r>
    </w:p>
    <w:p>
      <w:r>
        <w:t>Le litige porte sur le droit du recourant à une rente d'invalidité.</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w:t>
      </w:r>
    </w:p>
    <w:p>
      <w:r>
        <w:rPr>
          <w:b/>
        </w:rPr>
        <w:t>E. 3.2</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3.3</w:t>
      </w:r>
    </w:p>
    <w:p>
      <w:r>
        <w:t>Si l'assuré est invalide (art. 8 LPGA) à 10%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(dans sa teneur en vigueur dès le 1 er janvier 2021),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3.4</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Lorsque la personne assurée, en bonne santé, ne travaillerait plus à son ancien poste, le revenu de valide doit être déterminé, conformément à la pratique, au moyen des valeurs statistiques (arrêt du Tribunal fédéral 8C_214/2023 du 20 février 2024 consid. 4.2.1 et les références).</w:t>
      </w:r>
    </w:p>
    <w:p>
      <w:r>
        <w:rPr>
          <w:b/>
        </w:rPr>
        <w:t>E. 3.5</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Dès qu’il n’y a plus lieu d’attendre de la continuation du traitement médical une « sensible amélioration de l’état de santé de l’assuré » (sur cette notion : cf . ci‑après : consid. 5.2.2)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L’art. 19 al. 1 LAA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rPr>
          <w:b/>
        </w:rPr>
        <w:t>E. 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4.2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4.3</w:t>
      </w:r>
    </w:p>
    <w:p>
      <w:r>
        <w:t>Il appartient avant tout aux médecins, et non aux spécialistes de l'orientation professionnelle, de se prononcer sur la capacité de travail d'un assuré souffrant d'une atteinte à la santé et sur les éventuelles limitations résultant de celle-ci. Cependant, les organes d'observation professionnelle ont pour fonction de compléter les données médicales en examinant concrètement dans quelle mesure l'assuré est à même de mettre en valeur une capacité de travail et de gain sur le marché du travail. Au regard de la collaboration, étroite, réciproque et complémentaire entre les médecins et les organes d'observation professionnelle, on ne saurait toutefois dénier toute valeur aux renseignements d'ordre professionnel recueillis à l'occasion d'un stage pratique pour apprécier la capacité résiduelle de travail de l'assuré. En effet, dans les cas où ces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 du Tribunal fédéral 8C_607/2024 du 18 août 2025 consid. 5.1.2 et les références). On relèvera que dans un arrêt récent, destiné à la publication, le Tribunal fédéral a notamment opéré une confrontation entre une expertise médicale et les avis des spécialistes en réadaptation professionnelles et reproché à l'expert de ne pas avoir expliqué la contradiction manifeste entre une capacité de travail estimée à 70% et l'échec de toutes les tentatives de réinsertion (LACI et LAI) menées par l'assuré, qui n'avait pas présenté de signes d'exagération lors desdites tentatives (arrêt du Tribunal fédéral 9C_539/2024 du 12 juin 2025 consid. 4).</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 321/04 du 18 juillet 2005 consid. 5).</w:t>
      </w:r>
    </w:p>
    <w:p>
      <w:r>
        <w:rPr>
          <w:b/>
        </w:rPr>
        <w:t>E. 6.1</w:t>
      </w:r>
    </w:p>
    <w:p>
      <w:r>
        <w:t>En l'espèce, il est rappelé que l'intimée, dans la décision litigieuse, a nié le droit à une rente d'invalidité et alloué une indemnité pour atteinte à l'intégrité corporelle de 15%. Elle a justifié sa position en s'appuyant sur les appréciations du 16 septembre 2024 du Dr C______.</w:t>
      </w:r>
    </w:p>
    <w:p>
      <w:r>
        <w:rPr>
          <w:b/>
        </w:rPr>
        <w:t>E. 6.2</w:t>
      </w:r>
    </w:p>
    <w:p>
      <w:r>
        <w:t>Le recourant, qui ne remet pas en cause le taux de 15% d’indemnité pour atteinte à l'intégrité corporelle, conteste, en revanche, dans un premier grief, les limitations fonctionnelles retenues par le médecin conseil.</w:t>
      </w:r>
    </w:p>
    <w:p>
      <w:r>
        <w:rPr>
          <w:b/>
        </w:rPr>
        <w:t>E. 6.3</w:t>
      </w:r>
    </w:p>
    <w:p>
      <w:r>
        <w:t>Il convient donc d’examiner, d’abord, la valeur probante du rapport d’appréciation de ce médecin. Le Dr C______ a indiqué, dans son « appréciation brève », que compte tenu du rapport du 11 mars 2024 des HUG et du séjour à la CRR, le cas du recourant était stabilisé. Il a ensuite considéré que l’activité antérieurement exercée n’était plus exigible mais qu’une activité respectant les limitations fonctionnelles – à savoir un travail privilégiant globalement la position assise ou les alternances assis debout, et donc un travail léger, avec un port de charge limité à 10kg et sans marche prolongée, ni marche en terrain irrégulier, ni réalisation répétée des escaliers ou utilisation d'échelles répétées, ni travail sur les toits – était exigible à 100%, sans perte de rendement. La chambre de céans relève que ce médecin semble s’être fondé exclusivement sur le dossier et n’a pas motivé sa position. Celui-ci se réfère en particulier au rapport final du 2 septembre 2024 de la CRR, lequel énonce plusieurs limitations fonctionnelles mais ne se prononce pas expressément sur la capacité de travail du recourant dans une activité adaptée. Or, la position du Dr C______ est remise en cause par le Dr D______, lequel a estimé, dans son rapport du 22 octobre 2024, que la capacité de travail du recourant était nulle, même dans une activité adaptée à ses limitations fonctionnelles. Le médecin traitant a expliqué que les douleurs limitantes au membre inférieur droit étaient toujours présentes dans toutes les positions et les déplacements, que l’état psychique s’était beaucoup dégradé, que le recourant suivait un traitement somatique et psychothérapeutique et qu’il avait déposé une demande auprès de l’assurance-invalidité. Si les conclusions de ce médecin ne sont que peu motivées, elles suffisent néanmoins à jeter le doute sur celles du Dr C______, qui, en l’état, n’emportent pas la conviction de la chambre de céans. Au surplus, on ne saurait faire fi du fait – comme il ressort du dossier – que le recourant a subi une nouvelle intervention chirurgicale de la cheville droite aux HUG le 12 novembre 2024, soit antérieurement à la décision querellée, dont on ne connaît, notamment, pas les conséquences concernant la capacité de travail. Selon le compte rendu opératoire y relatif, cette opération, à savoir une ablation du matériel d'ostéosynthèse et une ablation de la suture, a été effectuée au motif d'une gêne persistante sur le matériel de stabilisation de la cheville et était intervenue dans la suite des opérations des 24 août 2020 et 24 mars 2022 en lien avec l'accident du 20 août 2020. L'opération en question a été immédiatement portée à la connaissance de l'intimée et est intervenue bien avant que cette dernière ne rende la décision querellée. Or, lorsqu'elle a appris que le recourant s'était fait opérer, l'intimée aurait dû procéder à des investigations complémentaires afin d’éclaircir la situation médicale à la suite de cette intervention chirurgicale, ce qu’elle n’a pas fait. Force est donc de constater que l’intimée ne pouvait se fonder uniquement sur l’appréciation du 16 septembre 2024 du Dr C______ et rendre sa décision litigieuse niant le droit à une rente d’invalidité.</w:t>
      </w:r>
    </w:p>
    <w:p>
      <w:r>
        <w:rPr>
          <w:b/>
        </w:rPr>
        <w:t>E. 6.4</w:t>
      </w:r>
    </w:p>
    <w:p>
      <w:r>
        <w:t>Dans ces conditions, en l'absence d'une appréciation suffisamment convaincante et circonstanciée permettant de déterminer la capacité de travail du recourant – y compris à la suite de l’intervention chirurgicale du 12 novembre 2024 –, la chambre de céans n'est pas en mesure de trancher le litige.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En l’occurrence, vu les carences des investigations médicales, il se justifie de renvoyer la cause à l'intimée pour qu'elle procède à une instruction complémentaire, sous la forme d'une expertise indépendante, au sens de l'art. 44 LPGA.</w:t>
      </w:r>
    </w:p>
    <w:p>
      <w:r>
        <w:rPr>
          <w:b/>
        </w:rPr>
        <w:t>E. 7</w:t>
      </w:r>
    </w:p>
    <w:p>
      <w:r>
        <w:t>On relèvera encore que le recourant a produit en cours de procédure de recours le rapport du 20 mai 2025 établi à la suite du stage suivi du 21 avril au 16 mai 2025 auprès de PRO. Certes ce stage est postérieur à la décision querellée, de sorte qu’on ne saurait en tenir compte dans le cadre de l’examen de la légalité de la décision sur opposition du 13 mars 2024, qui quoi qu’il en soit doit être annulée pour les raisons susmentionnées. Cela étant, puisque l’instruction complémentaire devra également porter sur l’évolution de la situation jusqu’au prononcé de la nouvelle décision de l’intimé, il est intéressant de noter que les responsables du stage – lesquels sont des spécialistes de l'orientation professionnelle – sont parvenus à des conclusions très différentes de celles du Dr C______. En effet, ils ont conclu que, malgré la bonne volonté, la bonne adaptabilité et la persévérance en dépit de la douleur, le recourant présentait notamment des limitations fonctionnelles « impactantes » et restreignant les pistes professionnelles (nécessité régulière d'alterner les positions, besoin de marche, besoin d'aménagements fréquents tels que chaise spécifique, marchepied, pauses régulières, port de charge limité à 10kg et pas de flexion) et que la situation médicale du recourant ne lui permettait pas, en l’état, de répondre aux diverses exigences du premier marché du travail, dès lors que malgré les aménagements mis en place, les limitations physiques demeuraient significatives et réduisaient fortement les perspectives de maintien dans une activité durable. Il conviendra donc, dans le cadre de l’instruction complémentaire, que l’intimée soumette les conclusions de ce stage au médecin expert, conformément à la jurisprudence fédérale ( cf . arrêt du Tribunal fédéral 9C_539/2024 précité), afin qu’il se détermine sur celles-ci dans le cadre de l’examen de la capacité de travail.</w:t>
      </w:r>
    </w:p>
    <w:p>
      <w:r>
        <w:rPr>
          <w:b/>
        </w:rPr>
        <w:t>E. 8</w:t>
      </w:r>
    </w:p>
    <w:p>
      <w:r>
        <w:t>Compte tenu de l'instruction lacunaire du dossier au plan médical, il est prématuré à ce stade d'examiner de manière approfondie les griefs du recourant concernant le calcul du degré d'invalidité. Toutefois, la chambre de céans relèvera d’ores et déjà que l’on peut s’interroger au sujet de l’application, dans le cas du recourant, de la CCT pour l’artisanat du métal pour la détermination du revenu sans invalidité – comme l’a fait l’intimée –, puisque cette convention prévoit expressément à son art. 3.1.2 que son application est exclue, notamment, dans le canton de Genève dans les secteurs de la construction métallique et de la construction en acier. Or, il semble prima facie que le recourant ait justement travaillé à Genève dans ces secteurs d’activité. Aussi, dans le cadre de l’instruction complémentaire, il conviendra que cette dernière vérifie ce point et, plus généralement, qu’elle investigue la question des activités exercées auparavant par le recourant, ce avant de procéder à un nouveau calcul du taux d’invalidité.</w:t>
      </w:r>
    </w:p>
    <w:p>
      <w:r>
        <w:rPr>
          <w:b/>
        </w:rPr>
        <w:t>E. 9</w:t>
      </w:r>
    </w:p>
    <w:p>
      <w:r>
        <w:t>Au vu de ce qui précède, le recours sera partiellement admis, la décision litigieuse annulée et la cause renvoyée à l’intimée pour instruction complémentaire et nouvelle décision, dans le sens des considérants.</w:t>
      </w:r>
    </w:p>
    <w:p>
      <w:r>
        <w:rPr>
          <w:b/>
        </w:rPr>
        <w:t>E. 10</w:t>
      </w:r>
    </w:p>
    <w:p>
      <w:r>
        <w:t>Le recourant, qui obtient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