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A/1317/2023 vom 29. Juni 2023</w:t>
      </w:r>
    </w:p>
    <w:p>
      <w:r>
        <w:t>GE Cour de justice, 2023-06-29, FR</w:t>
      </w:r>
    </w:p>
    <w:p>
      <w:r>
        <w:rPr>
          <w:b/>
        </w:rPr>
        <w:t xml:space="preserve">Quelle: </w:t>
      </w:r>
      <w:r>
        <w:t>https://mcp.opencaselaw.ch/entscheid/ge_gerichte_A_1317_2023</w:t>
      </w:r>
    </w:p>
    <w:p>
      <w:r>
        <w:t>FR: GE_GERICHTE A/1317/2023 du 29 juin 2023</w:t>
      </w:r>
    </w:p>
    <w:p>
      <w:r>
        <w:t>IT: GE_GERICHTE A/1317/2023 del 29 giugno 2023</w:t>
      </w:r>
    </w:p>
    <w:p>
      <w:pPr>
        <w:pStyle w:val="Heading2"/>
      </w:pPr>
      <w:r>
        <w:t>Erwägungen</w:t>
      </w:r>
    </w:p>
    <w:p>
      <w:r>
        <w:rPr>
          <w:b/>
        </w:rPr>
        <w:t>E. 1</w:t>
      </w:r>
    </w:p>
    <w:p>
      <w:r>
        <w:t>La question de la recevabilité du recours s’examine d’office.![endif]&gt;![if&gt;</w:t>
      </w:r>
    </w:p>
    <w:p>
      <w:r>
        <w:rPr>
          <w:b/>
        </w:rPr>
        <w:t>E. 1.1</w:t>
      </w:r>
    </w:p>
    <w:p>
      <w:r>
        <w:t>Le recours a été interjeté en temps utile devant la juridiction compétente (art. 132 de la loi sur l'organisation judiciaire du 26 septembre 2010 - LOJ - E 2 05 ; art. 62 al. 1 let. a de la loi sur la procédure administrative du 12 septembre 1985 - LPA - E 5 10).![endif]&gt;![if&gt;</w:t>
      </w:r>
    </w:p>
    <w:p>
      <w:r>
        <w:rPr>
          <w:b/>
        </w:rPr>
        <w:t>E. 1.2</w:t>
      </w:r>
    </w:p>
    <w:p>
      <w:r>
        <w:t>Aux termes de l'art. 60 let. b LPA, ont qualité pour recourir toutes les personnes qui sont touchées directement par une décision et ont un intérêt digne de protection à ce qu'elle soit annulée ou modifiée.![endif]&gt;![if&gt; Lorsque la sanction a déjà été exécutée, il convient d’examiner s’il subsiste un intérêt digne de protection à l’admission du recours. Un tel intérêt suppose un intérêt actuel à obtenir l’annulation de la décision attaquée. Il est toutefois renoncé à l’exigence d’un tel intérêt lorsque cette condition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 ATA/1104/2018 du 16 octobre 2018 consid. 2).</w:t>
      </w:r>
    </w:p>
    <w:p>
      <w:r>
        <w:rPr>
          <w:b/>
        </w:rPr>
        <w:t>E. 1.3</w:t>
      </w:r>
    </w:p>
    <w:p>
      <w:r>
        <w:t>En l’espèce, bien que la sanction ait déjà été exécutée, le recourant dispose d’un intérêt digne de protection à recourir contre la décision. La légalité du placement en cellule forte doit pouvoir faire l’objet d’un contrôle, nonobstant l’absence d’intérêt actuel. Il pourrait en effet être tenu compte de la sanction contestée en cas de nouveau problème disciplinaire. ![endif]&gt;![if&gt; Le recours conserve ainsi un intérêt actuel et est en conséquence recevable.</w:t>
      </w:r>
    </w:p>
    <w:p>
      <w:r>
        <w:rPr>
          <w:b/>
        </w:rPr>
        <w:t>E. 2</w:t>
      </w:r>
    </w:p>
    <w:p>
      <w:r>
        <w:t>Le recourant se plaint du caractère illégal de la sanction et de l’établissement erroné des faits.![endif]&gt;![if&gt;</w:t>
      </w:r>
    </w:p>
    <w:p>
      <w:r>
        <w:rPr>
          <w:b/>
        </w:rPr>
        <w:t>E. 2.1</w:t>
      </w:r>
    </w:p>
    <w:p>
      <w:r>
        <w:t>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e éd., 2011, p. 142 à 145 et la jurisprudence citée).![endif]&gt;![if&gt;</w:t>
      </w:r>
    </w:p>
    <w:p>
      <w:r>
        <w:rPr>
          <w:b/>
        </w:rPr>
        <w:t>E. 2.2</w:t>
      </w:r>
    </w:p>
    <w:p>
      <w:r>
        <w:t>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 Un détenu doit respecter les dispositions du RRIP (art. 42 RRIP). Il doit en toutes circonstances adopter une attitude correcte à l’égard du personnel de la prison, des autres personnes incarcérées et des tiers (art. 44 RRIP), et n’a d’aucune façon le droit de troubler l’ordre et la tranquillité de la prison (art. 45 let. h RRIP).![endif]&gt;![if&gt;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À teneur de l’art. 47 al. 3 RRIP, le directeur est compétent pour prononcer, notamment, le placement en cellule forte pour dix jours au plus (let. g). Il peut déléguer la compétence de prononcer les sanctions pour le placement en cellule forte d’un à cinq jours à d'autres membres du personnel gradé ( ATA/1631/2017 du 19 décembre 2017 consid. 3).</w:t>
      </w:r>
    </w:p>
    <w:p>
      <w:r>
        <w:rPr>
          <w:b/>
        </w:rPr>
        <w:t>E. 2.3</w:t>
      </w:r>
    </w:p>
    <w:p>
      <w:r>
        <w:t>La chambre de céans accorde généralement une pleine valeur probante aux constatations figurant dans un rapport de police, établi par des agents assermentés ( ATA/502/2018 du 22 mai 2018 consid. 5 et les références citées), sauf si des éléments permettent de s’en écarter. Dès lors que les agents de détention sont également des fonctionnaires assermentés (art. 19 LOPP), le même raisonnement peut être appliqué aux rapports établis par ces derniers ( ATA/1242/2018 du 20 novembre 2018 consid. 6).![endif]&gt;![if&gt; Selon la jurisprudence de la chambre administrative, il n’est pas besoin de déterminer qui porte la responsabilité d’une altercation opposant des codétenus ni si la violence physique reprochée en particulier au recourant, dans le cas jugé, avait consisté en des griffures ou en un coup de poing. En effet, toute forme de violence physique sur un détenu contrevient aux obligations d’adopter une attitude correcte à l’égard des autres personnes incarcérées et de ne pas troubler l’ordre et la tranquillité de la prison, étant relevé que le recourant ne soutenait dans le cas en cause pas qu’il aurait agi en légitime défense. L’exercice de violence physique sur un codétenu peut être qualifié d’un manquement grave ( ATA/220/2019 du 5 mars 2019). Dans un arrêt ultérieur, la chambre administrative a de même retenu que les bagarres entre détenus constituaient une violation grave des règles de coexistence pacifique devant prévaloir dans un établissement de détention. Outre les dangers d’atteintes sérieuses à l’intégrité physique et psychique qu’elles comportent, s’agissant d’un milieu confiné, elles créent le risque de déborder et de susciter des affrontements plus larges, et menacent sérieusement l’ordre et la tranquillité devant régner dans un établissement de détention. Le déclenchement de la bagarre n’était in casu pas reproché au recourant, ni à son codétenu, et était sans pertinence. Seule leur participation à la bagarre leur avait valu une sanction, d’ailleurs identique, étant précisé qu’il n’appartenait pas à la chambre administrative de se prononcer sur la sanction infligée au codétenu ( ATA/1072/2021 du 12 octobre 2021).</w:t>
      </w:r>
    </w:p>
    <w:p>
      <w:r>
        <w:rPr>
          <w:b/>
        </w:rPr>
        <w:t>E. 2.4</w:t>
      </w:r>
    </w:p>
    <w:p>
      <w:r>
        <w:t>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ATA/735/2013 du 5 novembre 2013 consid. 11).![endif]&gt;![if&gt;</w:t>
      </w:r>
    </w:p>
    <w:p>
      <w:r>
        <w:rPr>
          <w:b/>
        </w:rPr>
        <w:t>E. 2.5</w:t>
      </w:r>
    </w:p>
    <w:p>
      <w:r>
        <w:t>Le placement en cellule forte est la sanction la plus sévère parmi le catalogue des sept sanctions mentionnées par l'art. 47 RRIP (art. 47 al. 3 let. g RRIP).![endif]&gt;![if&gt; La chambre de céans a confirmé des sanctions d’arrêts de deux, voire trois jours de cellule forte pour des menaces d’intensité diverse (voir la casuistique exposée dans l’ ATA/136/2019 du 12 février 2019 consid. 9b). S’agissant de violences physiques entre détenus, la chambre de céans a confirmé des sanctions de trois jours de cellule forte lors de bagarres, et cela quand bien même les détenus n’avaient pas d’antécédents ( ATA/295/2023 du 23 mars 2023 ; ATA/1072/2021 du 12 octobre 2021 ; ATA/220/2019 du 5 mars 2019). En matière de sanctions disciplinaires, l’autorité dispose d’un large pouvoir d’appréciation ; le pouvoir d’examen de la chambre administrative se limite à l’excès ou l’abus du pouvoir d’appréciation (art. 61 al. 2 LPA ; ATA/1451/2017 du 31 octobre 2017 consid. 4c ; ATA/888/2015 du septembre 2014 consid. 7b).</w:t>
      </w:r>
    </w:p>
    <w:p>
      <w:r>
        <w:rPr>
          <w:b/>
        </w:rPr>
        <w:t>E. 2.6</w:t>
      </w:r>
    </w:p>
    <w:p>
      <w:r>
        <w:t>En l’espèce, le visionnage des images de vidéosurveillance, combiné à la lecture du rapport d’incident, établi par un agent assermenté et dont aucun élément ne permet de remettre en cause le contenu, confirment que l’envoi du ballon sur le visage du recourant est dû à une inadvertance et non à un geste délibéré. Il est toutefois vrai que le ballon est tiré avec force et surprend le recourant qui a le visage tourné au moment du choc. ![endif]&gt;![if&gt; Le détenu 1 met brièvement sa main, au passage, sur l’épaule du recourant, en signe d’excuses. Celui-ci a toutefois réagi en frappant le détenu 1, à plusieurs reprises, puis en le poussant sur un banc avant de continuer à lui asséner des coups. Il est dès lors établi que le recourant a adopté une attitude non conforme au règlement. Le principe d’une sanction est donc fondé. Reste à examiner si la sanction consistant en trois jours de cellule forte était proportionnée. En l'occurrence, comme déjà retenu par la chambre de céans dans des situations de bagarres ou comme en l’espèce d’agression, outre les dangers d’atteintes sérieuses à l’intégrité physique et psychique qu’elles comportent, d’autant plus s’agissant d’un milieu confiné, elles créent le risque de déborder et de susciter des affrontements plus larges, et menacent sérieusement l’ordre et la tranquillité devant régner dans un établissement de détention. La sanction doit en tenir compte. Alors que le recourant aurait dû ne pas se montrer violent avec le détenu 1 qui, a priori a cherché à s’excuser, il a au contraire choisi de venir à sa rencontre, de lui asséner deux coups de poings, puis de le pousser sur un banc en continuant à le frapper, ce qu’il n’a pas contesté lors de son audition. Cette attitude ne peut être tolérée et constitue une violation grave des règles disciplinaires. La sanction prononcée à son encontre par l’autorité intimée dans le cadre de son large pouvoir d’appréciation s’avère conforme à la jurisprudence, voire clémente, et tient équitablement compte de l’antécédent disciplinaire du détenu, mais aussi des excuses faites ultérieurement par le recourant au détenu 1. Aussi, tant le choix de la sanction, que sa quotité étaient aptes, nécessaires et proportionnés au sens étroit pour garantir la sécurité et la tranquillité de l'établissement et s'avèrent conformes au droit.</w:t>
      </w:r>
    </w:p>
    <w:p>
      <w:r>
        <w:rPr>
          <w:b/>
        </w:rPr>
        <w:t>E. 3</w:t>
      </w:r>
    </w:p>
    <w:p>
      <w:r>
        <w:t>Vu la nature du litige, il ne sera pas perçu d'émolument (art. 87 al. 1 LPA et art. 12 al. 1 du règlement sur les frais, émoluments et indemnités en procédure administrative du 30 juillet 1986 - RFPA - E 5 10.03). Vu son issue,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