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A/1311/2024 vom 20. Mai 2025</w:t>
      </w:r>
    </w:p>
    <w:p>
      <w:r>
        <w:t>GE Cour de justice, 2025-05-20, FR</w:t>
      </w:r>
    </w:p>
    <w:p>
      <w:r>
        <w:rPr>
          <w:b/>
        </w:rPr>
        <w:t xml:space="preserve">Quelle: </w:t>
      </w:r>
      <w:r>
        <w:t>https://mcp.opencaselaw.ch/entscheid/ge_gerichte_A_1311_2024</w:t>
      </w:r>
    </w:p>
    <w:p>
      <w:r>
        <w:t>FR: GE_GERICHTE A/1311/2024 du 20 mai 2025</w:t>
      </w:r>
    </w:p>
    <w:p>
      <w:r>
        <w:t>IT: GE_GERICHTE A/1311/2024 del 20 maggio 2025</w:t>
      </w:r>
    </w:p>
    <w:p>
      <w:pPr>
        <w:pStyle w:val="Heading2"/>
      </w:pPr>
      <w:r>
        <w:t>Regeste</w:t>
      </w:r>
    </w:p>
    <w:p>
      <w:r>
        <w:t>CALCUL DE L'IMPOT;IMPÔT SUR LA FORTUNE;FORTUNE IMMOBILIÈRE;ETAT LOCATIF;VALEUR LOCATIVE | La valeur d’un immeuble locatif est calculée en capitalisant son état locatif annuel selon l’art. 50 let. a LIPP, y compris si un tel immeuble est en partie occupé par son propriétaire. Dans ce cas, l’état locatif déterminant intègre, en plus des loyers perçus, la valeur locative de la surface occupée par le propriétaire. Il n’y a pas lieu d’estimer la valeur de cette surface séparément et selon des règles différentes. | LIPP.50.leta; RIPP.25.al3.leta</w:t>
      </w:r>
    </w:p>
    <w:p>
      <w:pPr>
        <w:pStyle w:val="Heading2"/>
      </w:pPr>
      <w:r>
        <w:t>Erwägungen</w:t>
      </w:r>
    </w:p>
    <w:p>
      <w:r>
        <w:rPr>
          <w:b/>
        </w:rPr>
        <w:t>E. 4</w:t>
      </w:r>
    </w:p>
    <w:p>
      <w:r>
        <w:t>Au vu de l'issue du litige, un émolument de CHF 500.- sera mis à la charge des contribuables, qui succombent dans une large mesure, et il ne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