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A/1307/2023 vom 20. August 2024</w:t>
      </w:r>
    </w:p>
    <w:p>
      <w:r>
        <w:t>GE Cour de justice, 2024-08-20, FR</w:t>
      </w:r>
    </w:p>
    <w:p>
      <w:r>
        <w:rPr>
          <w:b/>
        </w:rPr>
        <w:t xml:space="preserve">Quelle: </w:t>
      </w:r>
      <w:r>
        <w:t>https://mcp.opencaselaw.ch/entscheid/ge_gerichte_A_1307_2023</w:t>
      </w:r>
    </w:p>
    <w:p>
      <w:r>
        <w:t>FR: GE_GERICHTE A/1307/2023 du 20 août 2024</w:t>
      </w:r>
    </w:p>
    <w:p>
      <w:r>
        <w:t>IT: GE_GERICHTE A/1307/2023 del 20 agosto 2024</w:t>
      </w:r>
    </w:p>
    <w:p>
      <w:pPr>
        <w:pStyle w:val="Heading2"/>
      </w:pPr>
      <w:r>
        <w:t>Erwägungen</w:t>
      </w:r>
    </w:p>
    <w:p>
      <w:r>
        <w:rPr>
          <w:b/>
        </w:rPr>
        <w:t>E. 4</w:t>
      </w:r>
    </w:p>
    <w:p>
      <w:r>
        <w:t>Le recourant conteste nouvellement la quotité de l’amende mise à sa charge.</w:t>
      </w:r>
    </w:p>
    <w:p>
      <w:r>
        <w:rPr>
          <w:b/>
        </w:rPr>
        <w:t>E. 4.1</w:t>
      </w:r>
    </w:p>
    <w:p>
      <w:r>
        <w:t>Le contribuable qui, intentionnellement ou par négligence, fait en sorte qu'une taxation ne soit pas effectuée alors qu'elle devrait l'être, ou qu'une taxation entrée en force soit incomplète, est puni d'une amende (art. 56 al. 1 LHID ; art. 69 al. 1 LPFisc).</w:t>
      </w:r>
    </w:p>
    <w:p>
      <w:r>
        <w:rPr>
          <w:b/>
        </w:rPr>
        <w:t>E. 4.2</w:t>
      </w:r>
    </w:p>
    <w:p>
      <w:r>
        <w:t>En cas de soustraction consommée, l’amende est, en règle générale, fixée au montant de l’impôt soustrait. Si la faute est légère, l’amende peut être réduite jusqu’au tiers de ce montant ; si la faute est grave, elle peut au plus être triplée (art. 56 al. 1 LHID ; art. 69 al. 2 LPFisc). Le montant de l’impôt soustrait constitue donc le premier critère de fixation de l’amende, la faute intervenant seulement, mais de manière limitée, comme facteur de réduction ou d’augmentation de sa quotité ( ATA/407/2022 du 12 avril 2022 consid. 6c).</w:t>
      </w:r>
    </w:p>
    <w:p>
      <w:r>
        <w:rPr>
          <w:b/>
        </w:rPr>
        <w:t>E. 4.3</w:t>
      </w:r>
    </w:p>
    <w:p>
      <w:r>
        <w:t>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w:t>
      </w:r>
    </w:p>
    <w:p>
      <w:r>
        <w:rPr>
          <w:b/>
        </w:rPr>
        <w:t>E. 4.4</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w:t>
      </w:r>
    </w:p>
    <w:p>
      <w:r>
        <w:rPr>
          <w:b/>
        </w:rPr>
        <w:t>E. 4.5</w:t>
      </w:r>
    </w:p>
    <w:p>
      <w:r>
        <w:t>En l’espèce, le montant des revenus nets non déclarés est de CHF 172'978.80, soit une somme relativement importante. La faute du recourant, commise à tout le moins par négligence, peut être qualifiée de moyenne, au vu de son absence de collaboration lors dans la procédure de taxation de 2016 et du fait qu’il ne pouvait ignorer, compte tenu de sa formation universitaire, que l’exercice d’une activité indépendante dans le canton de Genève y entraînait son assujettissement fiscal limité. Il a d’ailleurs fait parvenir à l’AFC-GE, pour l’année fiscale 2017, copie de sa déclaration fiscale vaudoise et de ses comptes, ce qui démontre qu’il n’était pas dans l’ignorance de ses obligations fiscales dans le canton de Genève. L’autorité intimée a retenu une quotité de ¾ du montant des impôts soustraits, avant de réduire à la moitié la quotité devant le TAPI. Compte tenu de l’importance du montant soustrait et de la négligence commise, l'AFC-GE a respecté le cadre légal et n'a nullement fait preuve d'une sévérité excessive en revoyant à 0.5 fois la quotité de l’amende dans le cadre de la présente procédure. Au vu de ce qui précède, l’amende infligée est justifiée tant dans son principe que dans sa quotité. Mal fondé, le recours sera rejeté</w:t>
      </w:r>
    </w:p>
    <w:p>
      <w:r>
        <w:rPr>
          <w:b/>
        </w:rPr>
        <w:t>E. 5</w:t>
      </w:r>
    </w:p>
    <w:p>
      <w:r>
        <w:t>Vu l’issue du litige, un émolument de CHF 1'000.-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