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A/1307/2007 vom 31. Mai 2007</w:t>
      </w:r>
    </w:p>
    <w:p>
      <w:r>
        <w:t>GE Cour de justice, 2007-05-31, FR</w:t>
      </w:r>
    </w:p>
    <w:p>
      <w:r>
        <w:rPr>
          <w:b/>
        </w:rPr>
        <w:t xml:space="preserve">Quelle: </w:t>
      </w:r>
      <w:r>
        <w:t>https://mcp.opencaselaw.ch/entscheid/ge_gerichte_A_1307_2007</w:t>
      </w:r>
    </w:p>
    <w:p>
      <w:r>
        <w:t>FR: GE_GERICHTE A/1307/2007 du 31 mai 2007</w:t>
      </w:r>
    </w:p>
    <w:p>
      <w:r>
        <w:t>IT: GE_GERICHTE A/1307/2007 del 31 maggio 2007</w:t>
      </w:r>
    </w:p>
    <w:p>
      <w:pPr>
        <w:pStyle w:val="Heading2"/>
      </w:pPr>
      <w:r>
        <w:t>Regeste</w:t>
      </w:r>
    </w:p>
    <w:p>
      <w:r>
        <w:t>Plainte irrecevable mais transmission du dossier à l'Office des poursuites pour raison de compétence. | LaLP.13</w:t>
      </w:r>
    </w:p>
    <w:p>
      <w:pPr>
        <w:pStyle w:val="Heading2"/>
      </w:pPr>
      <w:r>
        <w:t>Erwägungen</w:t>
      </w:r>
    </w:p>
    <w:p>
      <w:r>
        <w:rPr>
          <w:b/>
        </w:rPr>
        <w:t>E. 1</w:t>
      </w:r>
    </w:p>
    <w:p>
      <w:r>
        <w:t>La Commission de céans est compétente pour statuer sur les plaintes formées en application de la LP (art. 10 al. 1 LP ; art. 11 al. 2 LaLP ; art. 56R al. 3 LOJ) contre des mesures sujettes à plainte non attaquables par la voie judiciaire ou pour déni de justice ou retard injustifié (art. 17 al. 1 et 3 LP). 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 Commentaire, ad art. 20a n° 9 ss et 147 ss ; Flavio Cometta , in SchKG I, ad art. 20a n° 2 ss et 48 ; Franco Lorandi , Betreibungsrechtliche Beschwerde und Nichtigkeit. Kommentar zu den Artikeln 13-30 SchKG, Bâle-Genève-Munich 2000, ad art. 20a n° 92 ss). Il revient aux cantons de déterminer notamment la forme et le contenu auxquels doivent satisfaire les plaintes.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w:t>
      </w:r>
    </w:p>
    <w:p>
      <w:r>
        <w:rPr>
          <w:b/>
        </w:rPr>
        <w:t>E. 2</w:t>
      </w:r>
    </w:p>
    <w:p>
      <w:r>
        <w:t>En l’espèce, par courrier recommandé du 2 avril 2007, la Commission de céans a invité le plaignant à lui indiquer si son courrier devait être considéré comme une plainte et, le cas échéant, à la motiver et à produire la décision attaquée dans un délai au 12 avril 2007. Par courrier du 14 avril 2007, soit après l'échéance du délai imparti, le plaignant a communiqué à la Commission de céans les noms de huit personnes qui, selon ses déclarations, sont déjà en possession de sa plainte « dûment motivée » et il a invité la Commission de céans à les contacter. Par ailleurs, il a indiqué que son conseil avait pris contact avec Mme S______ afin d'obtenir le listing détaillé des sommes saisies, encaissées et redistribuées par l'Office « ces dernières années ». La Commission de céans constate que, d'une part, le plaignant n'a pas répondu dans le délai qui lui a été imparti par courrier recommandé du 2 avril 2007 et que, d'autre part, il n'a pas produit la décision attaquée, ni indiqué précisément qu'elle était la mesure de l'Office qu'il contestait. Sa plainte n'est, au surplus, pas suffisamment motivée et ne contient pas de conclusions. Elle devrait ainsi être déclarée irrecevable car non conforme aux exigences posées par l’art. 13 LaLP. Il semble toutefois ressortir des courriers des 16 mars et 14 avril 2007 du plaignant, que ce dernier se plaint principalement du fait qu’il n’a pas reçu de « listing détaillé des sommes saisies encaissées et redistribuées par l’Office » dans le cadre de poursuites dirigées contre lui. Il apparaît que la demande du plaignant à ce sujet ait été adressée, en dernier lieu, à la directrice générale des Offices des poursuites et des faillites. Or, la direction générale des Offices des poursuites et des faillites a été supprimée, par la Loi modifiant la loi d'application dans le canton de Genève de la loi fédérale sur la poursuite pour dettes et la faillite (E 3 60) adoptée le 1 er décembre 2006 et entrée en vigueur le 1 er mars 2007. La demande du plaignant aurait donc dû être adressée au Préposé de l’Office et non à Mme S______. Par souci d’économie de procédure et au vu des circonstances susrappelées, la Commission de céans transmettra donc la demande de renseignements du plaignant au Préposé de l’Office, comme objet de sa compétence. Il sera à cet égard rappelé que le droit de consultation des registres de l’Office s’exerce aux conditions découlant de l’art. 8a LP. * * * * * PAR CES MOTIFS, LA COMMISSION DE SURVEILLANCE SIÉGEANT EN SECTION : Transmet au Préposé de l’Office des poursuites, comme objet de sa compétence, la demande de renseignements de M. C______ du 16 mars 2007. L’invite, en tant que de besoin, à y donner suite. Siégeant : M. Grégory BOVEY, président ; MM. Christian CHAVAZ et Olivier WEHRLI, juges assesseurs.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