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A/1306/2023 vom 10. Mai 2023</w:t>
      </w:r>
    </w:p>
    <w:p>
      <w:r>
        <w:t>GE Cour de justice, 2023-05-10, FR</w:t>
      </w:r>
    </w:p>
    <w:p>
      <w:r>
        <w:rPr>
          <w:b/>
        </w:rPr>
        <w:t xml:space="preserve">Quelle: </w:t>
      </w:r>
      <w:r>
        <w:t>https://mcp.opencaselaw.ch/entscheid/ge_gerichte_A_1306_2023</w:t>
      </w:r>
    </w:p>
    <w:p>
      <w:r>
        <w:t>FR: GE_GERICHTE A/1306/2023 du 10 mai 2023</w:t>
      </w:r>
    </w:p>
    <w:p>
      <w:r>
        <w:t>IT: GE_GERICHTE A/1306/2023 del 10 maggio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Le recourant a recouvré la liberté le 10 mai 2023, ce qui pose la question de son intérêt actuel au recours.</w:t>
      </w:r>
    </w:p>
    <w:p>
      <w:r>
        <w:rPr>
          <w:b/>
        </w:rPr>
        <w:t>E. 2.1</w:t>
      </w:r>
    </w:p>
    <w:p>
      <w:r>
        <w:t>Aux termes de l'art. 60 al. 1 let. b de la loi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rPr>
          <w:b/>
        </w:rPr>
        <w:t>E. 2.2</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2.3</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rPr>
          <w:b/>
        </w:rPr>
        <w:t>E. 2.4</w:t>
      </w:r>
    </w:p>
    <w:p>
      <w:r>
        <w:t>Si l'intérêt actuel n'existe plus au moment du dépôt du recours, celui-ci est déclaré irrecevable. Lorsque cet intérêt disparaît durant la procédure, la cause est radiée du rôle comme devenue sans objet (ATF 142 I 135 consid. 1.3.1 p. 143 et les arrêts cités).</w:t>
      </w:r>
    </w:p>
    <w:p>
      <w:r>
        <w:rPr>
          <w:b/>
        </w:rPr>
        <w:t>E. 2.5</w:t>
      </w:r>
    </w:p>
    <w:p>
      <w:r>
        <w:t>En l’espèce, le recourant a été libéré le 10 mai 2023. Certes l’intimée indique qu’il aurait été incarcéré à B______ à plusieurs reprises par le passé. Ceci ne veut pas pour autant dire qu’il le soit forcément à l’avenir. Il ne s’est pas manifesté auprès de la chambre de céans depuis sa libération ni n’a transmis d’adresse où le contacter. Il peut en être déduit qu’il se désintéresse de l’issue du litige. Il ne fait pour le surplus valoir aucun grief de violation de ses droits de rang conventionnel. En application de la jurisprudence précitée et constante de la chambre de céans, il n'y a dès lors aucune raison de passer outre l'exigence de l'intérêt actuel ( ATA/1030/2019 du 18 juin 2019 ; ATA/555/2018 du 5 juin 2018 consid. 2f ; ATA/308/2016 du 12 avril 2016 et les références citées), étant au surplus relevé que le recourant a reconnu les faits à la base de la sanction.</w:t>
      </w:r>
    </w:p>
    <w:p>
      <w:r>
        <w:rPr>
          <w:b/>
        </w:rPr>
        <w:t>E. 2.6</w:t>
      </w:r>
    </w:p>
    <w:p>
      <w:r>
        <w:t>Vu ce qui précède, le recours a perdu son objet en cours de procédure, ce qu'il y a lieu de constater, et la cause devra être rayée du rôle.</w:t>
      </w:r>
    </w:p>
    <w:p>
      <w:r>
        <w:rPr>
          <w:b/>
        </w:rPr>
        <w:t>E. 3</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