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A/1305/2024 vom 27. August 2024</w:t>
      </w:r>
    </w:p>
    <w:p>
      <w:r>
        <w:t>GE Cour de justice, 2024-08-27, FR</w:t>
      </w:r>
    </w:p>
    <w:p>
      <w:r>
        <w:rPr>
          <w:b/>
        </w:rPr>
        <w:t xml:space="preserve">Quelle: </w:t>
      </w:r>
      <w:r>
        <w:t>https://mcp.opencaselaw.ch/entscheid/ge_gerichte_A_1305_2024</w:t>
      </w:r>
    </w:p>
    <w:p>
      <w:r>
        <w:t>FR: GE_GERICHTE A/1305/2024 du 27 août 2024</w:t>
      </w:r>
    </w:p>
    <w:p>
      <w:r>
        <w:t>IT: GE_GERICHTE A/1305/2024 del 27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 refus de délivrer une AUADP, en application du régime transitoire prévu par l’art. 46 al. 13 LTVTC.</w:t>
      </w:r>
    </w:p>
    <w:p>
      <w:r>
        <w:rPr>
          <w:b/>
        </w:rPr>
        <w:t>E. 2.1</w:t>
      </w:r>
    </w:p>
    <w:p>
      <w:r>
        <w:t>La LTVTC, actuellement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 Dans sa présentation du projet de loi,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chauffeur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À l’issue de la séance du 28 janvier 2022, le Grand Conseil a adopté la LTVTC (loi 12'649), publiée le 4 février 2022 dans la Feuille d’avis officielle de la République et canton de Genève (ci-après : FAO) fixant le délai référendaire au 16 mars 2022. 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Le 19 octobre 2022, le Conseil d’État a annoncé que la LTVTC et son règlement d’application entreraient en vigueur le 1 er novembre 2022.</w:t>
      </w:r>
    </w:p>
    <w:p>
      <w:r>
        <w:rPr>
          <w:b/>
        </w:rPr>
        <w:t>E. 2.2</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Les personnes réalisant les conditions de l’art. 46 al. 13 de la loi peuvent requérir la titularité d'une AUADP. La requête doit être déposée dans le délai transitoire mentionné à l’al. 11 du présent article; l'art. 5 du présent règlement est applicable pour le surplus (art. 57 al. 12 règlement d'exécution de la loi sur les taxis et les voitures de transport avec chauffeur du 21 juin 2017 - RTVTC - H 1 31 01). L’art. 57 al. 11 RTVTC prévoit que le service peut, pendant le délai transitoire des douze mois visé à l’art. 46 al. 8 LTVTC délivrer jusqu’à 200 AUADP supplémentaires aux utilisatrices et utilisateurs effectifs au sens de l’art. 46 al. 13 LTVTC. Dans son arrêt du 24 mars 2023 ( ACST/15/2023 ),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2.3</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ATA/779/2023 du 18 juillet 2023 consid. 5.6.2 ; ATA/886/2023 du 22 août 2023 consid. 6.6). Dans un arrêt récent du 4 juin 2024 ( 2C_690/2023 ), le Tribunal fédéral a confirmé la compatibilité de l’art. 46 al. 13 LTVTC avec les principes de non‑rétroactivité des lois et de proportionnalité en lien avec la liberté économique. Dans sa jurisprudence, la chambre administrative a eu l’occasion de relever que la situation des chauffeurs de taxis liée à la crise sanitaire ne permettait pas de déroger à l’application de l’art. 46 al. 13 LTVTC. À rigueur de texte, cette disposition ne prévoyait pas la possibilité d’invoquer des motifs d’empêchement à la location d’une AUADP. Il ressortait des travaux parlementaires que l’idée du régime transitoire était de prévoir un passage en douceur pour les personnes subissant des sacrifices trop importants du fait de la nouvelle réglementation. Or, les chauffeurs de taxi qui n’étaient pas locataires d’une AUADP au moment de l’adoption de la loi ne se trouvaient pas dans la situation dans laquelle leur relation par rapport au bailleur devait être clarifiée et ils ne courraient pas le risque de perdre leur outil de travail en raison de la restitution par leur bailleur de l’AUADP ( ATA/918/2024 du 6 août 2024 consid. 2.10 ; ATA/878/2024 du 23 juillet 2024 consid. 3.9 ; ATA/879/2024 du 23 juillet 2024 consid. 2.9 ; ATA/821/2024 du 9 juillet 2024 consid. 3.9).</w:t>
      </w:r>
    </w:p>
    <w:p>
      <w:r>
        <w:rPr>
          <w:b/>
        </w:rPr>
        <w:t>E. 2.4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 ATA/1279/2023 du 28 novembre 2023 consid. 4.8 et l'arrêt cité).</w:t>
      </w:r>
    </w:p>
    <w:p>
      <w:r>
        <w:rPr>
          <w:b/>
        </w:rPr>
        <w:t>E. 2.5</w:t>
      </w:r>
    </w:p>
    <w:p>
      <w:r>
        <w:t>Selon un principe général de droit intertemporel, les dispositions légales applicables à une contestation sont celles en vigueur au moment où se sont produits les faits juridiquement déterminants pour trancher celle-ci (ATF 146 V 364 consid. 7.1;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(cf. ATF 144 I 81 consid. 4.2; arrêt 2C_339/2021 du 4 mai 2022 consid. 4.1). Il n'y a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148 V 162 consid. 3.2.1 ; 146 V 364 consid. 7.1; 144 I 81 consid. 4.1).</w:t>
      </w:r>
    </w:p>
    <w:p>
      <w:r>
        <w:rPr>
          <w:b/>
        </w:rPr>
        <w:t>E. 2.6</w:t>
      </w:r>
    </w:p>
    <w:p>
      <w:r>
        <w:t>En l’espèce, la requête – c’est-à-dire le fait juridiquement déterminant – du recourant auprès du PCTN en vue de l’obtention d’une AUADP date du 9 octobre 2023,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 recourant, sa requête ne soulève pas de question sous l’angle de la rétroactivité des lois puisqu’elle a été déposée après l’entrée en vigueur de la nouvelle LTVTC (arrêt du Tribunal fédéral 2C_690/2023 du 4 juin 2024 consid. 5.1). Ce grief doit être écarté. Le recourant ne conteste pas ne pas avoir été l’utilisateur effectif d’une AUADP le 28 janvier 2022. Il fait toutefois valoir qu’en raison de la crise sanitaire, qui a durement affecté le secteur du transport de personnes, il n’a pas pu disposer d’une AUADP au moment déterminant du 28 janvier 2022. Cette situation exceptionnelle constituait un « cas de rigueur », justifiant une dérogation au régime transitoire, en ce sens que la condition d’avoir été utilisateur effectif au moment de l’adoption de la loi ne devrait pas s’appliquer à son cas, seul étant déterminent le fait d’avoir été utilisateur effectif au moment de l’entrée en vigueur de la LTVTC le 1 er novembre 2022. La chambre administrative a toutefois déjà retenu, dans sa jurisprudence, que l’art. 46 al. 13 LTVTC ne prévoyait pas la possibilité d’invoquer des motifs d’empêchement à la location d’une AUADP au moment de l’adoption de la loi, le 28 janvier 2022. Si le législateur avait voulu déroger au régime transitoire, plus particulièrement à l’exigence d’avoir été l’utilisateur effectif d’une AUADP au moment déterminant, il l’aurait clairement indiqué. Ainsi que l’a relevé l’intimé, l’art. 46 al. 13 LTVTC a été élaboré durant la période de la crise sanitaire, si bien que les conséquences économiques de cette situation sur les chauffeurs de taxis ne pouvaient être ignorées par le législateur. Par ailleurs, comme l’a jugé récemment le Tribunal fédéral, il n’apparait pas contraire au principe de la bonne foi de circonscrire le cercle des bénéficiaires d'un régime transitoire prévoyant un accès privilégié à la titularité des autorisations aux chauffeurs qui ont recouru à la location de celles-ci jusqu'au moment de l'adoption de la LTVTC, car ces chauffeurs ne pouvaient pas, avant ce moment-là, s'attendre à l'interdiction d'une telle pratique. En revanche, dès l'adoption de la loi, les chauffeurs devaient s'attendre aux modifications juridiques intervenues, même s'ils ne savaient pas de manière définitive quand une telle suppression entrerait en vigueur. Le régime permet ainsi d'éviter des abus consistant à devenir locataire d'une autorisation d'usage accru du domaine public avant l'entrée en vigueur de la loi, dans le seul but de pouvoir bénéficier de l'application de l'art. 46 al. 13 LTVTC et de court-circuiter l'ordre prévu dans la liste d'attente de ces autorisations. Or, dans le cas présent, le recourant a reloué une AUADP le 30 juin 2022, soit à une période où il devait s’attendre à l’interdiction d’une telle pratique. Contrairement aux chauffeurs de taxi qui étaient utilisateurs effectifs au moment de l’adoption de la loi, le recourant connaissait le risque qu’il prenait de perdre son outil de travail en raison de la restitution par son bailleur de l’AUADP. En tant qu’elle distingue ces situations, la loi échappe à toute critique. Il s’ensuit que n’étant pas titulaire d’une AUADP au moment déterminant du 28 janvier 2022, le recourant ne peut bénéficier du régime transitoire instauré par l’art. 46 al. 13 LTVTC ( ATA/814/2024 du 9 juillet 2024 consid. 2.6 ; ATA/619/2024 du 21 mai 2024 consid. 4).</w:t>
      </w:r>
    </w:p>
    <w:p>
      <w:r>
        <w:rPr>
          <w:b/>
        </w:rPr>
        <w:t>E. 3</w:t>
      </w:r>
    </w:p>
    <w:p>
      <w:r>
        <w:t>Invoquant l’art. 27 de la Constitution fédérale de la Confédération suisse du 18 avril 1999 (Cst. - RS 101), le recourant se plaint d’une violation du principe de proportionnalité en lien avec la liberté économique.</w:t>
      </w:r>
    </w:p>
    <w:p>
      <w:r>
        <w:rPr>
          <w:b/>
        </w:rPr>
        <w:t>E. 3.1</w:t>
      </w:r>
    </w:p>
    <w:p>
      <w:r>
        <w:t>Selon l’art. 27 Cst., la liberté économique est garantie (al. 1) ; elle comprend notamment le libre choix de la profession, le libre accès à une activité économique lucrative privée et son libre exercice (al. 2). L'art. 35 Cst-GE contient une garantie similaire.</w:t>
      </w:r>
    </w:p>
    <w:p>
      <w:r>
        <w:rPr>
          <w:b/>
        </w:rPr>
        <w:t>E. 3.2</w:t>
      </w:r>
    </w:p>
    <w:p>
      <w:r>
        <w:t>L’activité de chauffeur de taxi indépendant ou salarié est protégée par l’art. 27 Cst., même si l’exercice de cette activité implique un usage accru du domaine public (ATF 143 II 598 consid. 5 ; arrêt du Tribunal fédéral 2C_79/2023 du 23 février 2024 consid. 4.1.1, destiné à la publication et les arrêts cités). Les restrictions cantonales à l’exercice de la profession de chauffeur de taxi qui portent ainsi atteinte à la liberté économique doivent reposer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 ; art. 36 al. 1 à 3 Cst. ; ATF 149 I 191 consid. 6 et 7.2 ; arrêt du Tribunal fédéral 2C_79/2023 précité consid. 4.1.1, destiné à la publication).</w:t>
      </w:r>
    </w:p>
    <w:p>
      <w:r>
        <w:rPr>
          <w:b/>
        </w:rPr>
        <w:t>E. 3.3</w:t>
      </w:r>
    </w:p>
    <w:p>
      <w:r>
        <w:t>Dans un arrêt récent concernant un refus d’attribution d’une AUADP en faveur d’un chauffeur de taxi genevois au motif qu’il n’était locataire d’une AUADP que depuis le 4 février 2022, le Tribunal fédéral a relevé que l’art. 46 al. 13 LTVTC ne restreignait d’aucune manière sa liberté économique. Une telle restriction résultait de l’art. 13 al. 3 (« les autorisations et la plaques d’immatriculation correspondantes sont strictement personnelles et intransmissibles ») et 9 let. e LTVTC (« le département constate la caducité de l’autorisation lorsque son titulaire met à la disposition d’un tiers l’autorisation, respectivement la plaque d’immatriculation correspondante en violation de l’al. 3 »). Le fait que l’art. 46 al. 13 LTVTC prévoie la possibilité, et non pas le droit, de se voir attribuer en priorité une autorisation personnelle pour les chauffeurs qui en louaient une à leur titulaire au moment de l’adoption de la loi, ne signifiait pas que cette disposition consacre une violation « directe » de sa liberté économique (arrêt du Tribunal fédéral 2C_690/2023 du 4 juin 2024 consid. 7.2).</w:t>
      </w:r>
    </w:p>
    <w:p>
      <w:r>
        <w:rPr>
          <w:b/>
        </w:rPr>
        <w:t>E. 3.4</w:t>
      </w:r>
    </w:p>
    <w:p>
      <w:r>
        <w:t>Il découle de ce qui précède que, contrairement à ce que prétend le recourant, l’art. 46 al. 13 LTVTC ne restreint pas sa liberté économique. Cette disposition prévoit la possibilité – et non le droit – de se voir attribuer une autorisation, étant rappelé que la jurisprudence admet que le droit cantonal puisse limiter l’utilisation du domaine public par les chauffeurs de taxi en soumettant celle-ci à autorisation. Le recourant reste libre d’obtenir une telle autorisation en déposant une demande d’inscription sur une liste d’attente, ce qu’il soutient avoir fait. On rappellera, enfin, qu’il n’existe pas de droit au maintien d’une législation en vigueur jusqu’alors et qu’un régime transitoire doit seulement permettre aux administrés de s’adapter à la nouvelle réglementation et non pas de profiter le plus longtemps possible de l’ancien régime plus favorable (ATF 149 I 291 consid. 5.4 ; 145 II 140 consid. 4).</w:t>
      </w:r>
    </w:p>
    <w:p>
      <w:r>
        <w:rPr>
          <w:b/>
        </w:rPr>
        <w:t>E. 4</w:t>
      </w:r>
    </w:p>
    <w:p>
      <w:r>
        <w:t>Enfin, comme déjà retenu par la chambre administrative dans une situation comparable ( ATA/918/2024 du 6 août 2024 consid. 2.9), la décision ne consacre aucune inégalité de traitement entre chauffeurs de taxis qui ont obtenu le renouvellement facilité de leur AUADP, selon l’art. 46 al. 13 LTVTC, et ceux qui ont obtenu une nouvelle AUADP en raison du fait qu’ils figuraient en tête de la liste d’attente. En effet, la loi n’interdit nullement d’être titulaire de plusieurs AUADP. Ainsi, les chauffeurs de taxis qui en remplissent les conditions légales, peuvent se voir délivrer plusieurs AUADP. Pour le surplus, le recourant ne soutient pas que des chauffeurs de taxis ne disposant pas, comme lui, d’une AUADP le 28 janvier 2022 auraient néanmoins bénéficié d’un renouvellement facilité de leur AUADP obtenue postérieurement à cette date. L’on ne discerne ainsi pas d’inégalité de traitement entre chauffeurs de taxis se trouvant dans la même situation que le recourant. Au vu de ce qui précède, les critiques du recourant n’apparaissent pas fondées. Son recours sera ainsi rejeté.</w:t>
      </w:r>
    </w:p>
    <w:p>
      <w:r>
        <w:rPr>
          <w:b/>
        </w:rPr>
        <w:t>E. 5</w:t>
      </w:r>
    </w:p>
    <w:p>
      <w:r>
        <w:t>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