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A/1304/2016 vom 21. Juni 2016</w:t>
      </w:r>
    </w:p>
    <w:p>
      <w:r>
        <w:t>GE Cour de justice, 2016-06-21, FR</w:t>
      </w:r>
    </w:p>
    <w:p>
      <w:r>
        <w:rPr>
          <w:b/>
        </w:rPr>
        <w:t xml:space="preserve">Quelle: </w:t>
      </w:r>
      <w:r>
        <w:t>https://mcp.opencaselaw.ch/entscheid/ge_gerichte_A_1304_2016</w:t>
      </w:r>
    </w:p>
    <w:p>
      <w:r>
        <w:t>FR: GE_GERICHTE A/1304/2016 du 21 juin 2016</w:t>
      </w:r>
    </w:p>
    <w:p>
      <w:r>
        <w:t>IT: GE_GERICHTE A/1304/2016 del 21 giugno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31 mars 2016, déclarée exécutoire nonobstant recours et signifiée le même jour, le directeur adjoint de la prison de Champ-Dollon (ci-après : la prison) a infligé à M. A______, détenu, une punition sous forme d’un jour de cellule forte, pour attitude incorrecte envers le personnel.![endif]&gt;![if&gt;</w:t>
      </w:r>
    </w:p>
    <w:p>
      <w:r>
        <w:rPr>
          <w:b/>
        </w:rPr>
        <w:t>E. 2</w:t>
      </w:r>
    </w:p>
    <w:p>
      <w:r>
        <w:t>Par acte daté du 25 avril 2016 et expédié le 27 avril 2016 au greffe de la chambre administrative de la Cour de justice (ci-après : la chambre administrative), M. A______ a formé recours contre cette décision. ![endif]&gt;![if&gt; Il souhaitait être assisté d’un avocat d’office compétent en ce domaine, indiquant des noms d’avocats qui pourraient convenir, et estimait avoir droit à un bon avocat, « car l’incohérence et la conduite inappropriée de la manigance qui se [déroulait] au sein de Champ-Dollon [exaspérait sa] condition ici ». Il espérait recevoir l’aide de la chambre administrative et était dans l’attente de ses nouvelles.</w:t>
      </w:r>
    </w:p>
    <w:p>
      <w:r>
        <w:rPr>
          <w:b/>
        </w:rPr>
        <w:t>E. 3</w:t>
      </w:r>
    </w:p>
    <w:p>
      <w:r>
        <w:t>Par courrier recommandé adressé le 2 mai 2016 à M. A______, la chambre administrative a observé que son « recours » n’était pas conforme aux dispositions de la loi sur la procédure administrative du 12 septembre 1985 (LPA - E 5 10), en particulier à l’art. 65 al. 1 et 2 LPA. Le recourant devait exposer brièvement les raisons pour lesquelles il estimait que la décision attaquée devait faire l’objet d’un recours et formuler les prétentions exactes qu’il entendait faire valoir.![endif]&gt;![if&gt; À cette fin, un délai au 2 juin 2016 lui était imparti pour satisfaire à ces exigences sous peine d’irrecevabilité. L’assistance juridique et la nomination d’un avocat d’office n’étaient pas de la compétence de la chambre administrative. Néanmoins, était annexé à cette lettre un formulaire relatif à l’assistance juridique, à transmettre dûment complété, si l’intéressé le souhaitait, au greffe de l’assistance juridique.</w:t>
      </w:r>
    </w:p>
    <w:p>
      <w:r>
        <w:rPr>
          <w:b/>
        </w:rPr>
        <w:t>E. 4</w:t>
      </w:r>
    </w:p>
    <w:p>
      <w:r>
        <w:t>Vu ce qui précède, les conditions afférentes aux conclusions et aux motifs requises par l’art. 65 al. 1 et 2 LPA n’étant manifestement pas remplie, le recours sera déclaré irrecevable, ce sans instruction préalable en application de l’art. 72 LPA.![endif]&gt;![if&gt; Vu la nature du litige, aucun émolument ne sera perçu (art. 87 al. 1 LPA ; art. 12 du règlement sur les frais, émoluments et indemnités en procédure administrative - RFPA - E 5 10.03). Aucune indemnité de procédure ne sera allouée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