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A/129/2008 vom 29. Juli 2008</w:t>
      </w:r>
    </w:p>
    <w:p>
      <w:r>
        <w:t>GE Cour de justice, 2008-07-29, FR</w:t>
      </w:r>
    </w:p>
    <w:p>
      <w:r>
        <w:rPr>
          <w:b/>
        </w:rPr>
        <w:t xml:space="preserve">Quelle: </w:t>
      </w:r>
      <w:r>
        <w:t>https://mcp.opencaselaw.ch/entscheid/ge_gerichte_A_129_2008</w:t>
      </w:r>
    </w:p>
    <w:p>
      <w:r>
        <w:t>FR: GE_GERICHTE A/129/2008 du 29 juillet 2008</w:t>
      </w:r>
    </w:p>
    <w:p>
      <w:r>
        <w:t>IT: GE_GERICHTE A/129/2008 del 29 luglio 2008</w:t>
      </w:r>
    </w:p>
    <w:p>
      <w:pPr>
        <w:pStyle w:val="Heading2"/>
      </w:pPr>
      <w:r>
        <w:t>Regeste</w:t>
      </w:r>
    </w:p>
    <w:p>
      <w:r>
        <w:t>; MANDATAIRE NON PROFESSIONNEL ; NOTAIRE ; FORMALISME EXCESSIF ; ACTE DE RECOURS ; REPRÉSENTATION EN PROCÉDURE ; QUALITÉ DE PARTIE | Qualité de mandataire professionnellement qualifié d'un notaire admise dans le cadre d'une procédure fiscale. | LPA.65 ; LPA.9 ; Cst.29</w:t>
      </w:r>
    </w:p>
    <w:p>
      <w:pPr>
        <w:pStyle w:val="Heading2"/>
      </w:pPr>
      <w:r>
        <w:t>Erwägungen</w:t>
      </w:r>
    </w:p>
    <w:p>
      <w:r>
        <w:rPr>
          <w:b/>
        </w:rPr>
        <w:t>E. 9</w:t>
      </w:r>
    </w:p>
    <w:p>
      <w:r>
        <w:t>Le 16 janvier 2008, Me Ducret a recouru auprès du tribunal de céans. Il conclut au nom et pour le compte de Mme D______, à l’annulation de la décision de la CCRMI du 10 décembre 2007 et, au renvoi du dossier à la commission pour examen du fond, et subsidiairement, à la reconsidération de la taxation de la vente de Mme D______. La commission ne l’avait, à aucun moment, interpellé pour la production d’un justificatif de ses pouvoirs. Or, celle-ci pouvait exiger des compléments d’informations et il était en mesure de les lui fournir, notamment sous la forme de la procuration que lui avait remise Mme D______, en décembre 2003, lui donnant tous pouvoirs pour régler les problèmes avec l’administration (paiement ainsi que toutes négociations, réclamations ou recours) qu’il a produite à l’appui du recours. De plus, il résultait expressément de la déclaration pour l’impôt sur les bénéfices et gains immobiliers du 13 décembre 2003 qu’il intervenait comme mandataire.</w:t>
      </w:r>
    </w:p>
    <w:p>
      <w:r>
        <w:rPr>
          <w:b/>
        </w:rPr>
        <w:t>E. 10</w:t>
      </w:r>
    </w:p>
    <w:p>
      <w:r>
        <w:t>Le 23 janvier 2008, le tribunal de céans a imparti un délai au 29 février 2008 à l’AFC et à la CCRMI pour qu’elles lui communiquent leurs observations ainsi que leur dossier.</w:t>
      </w:r>
    </w:p>
    <w:p>
      <w:r>
        <w:rPr>
          <w:b/>
        </w:rPr>
        <w:t>E. 11</w:t>
      </w:r>
    </w:p>
    <w:p>
      <w:r>
        <w:t>Le 4 février 2008, la CCRMI a transmis son dossier et persisté dans les considérants et le dispositif de sa décision.</w:t>
      </w:r>
    </w:p>
    <w:p>
      <w:r>
        <w:rPr>
          <w:b/>
        </w:rPr>
        <w:t>E. 12</w:t>
      </w:r>
    </w:p>
    <w:p>
      <w:r>
        <w:t>Le 25 février 2008, l’AFC, considérant que le recours ne contenait aucun argument nouveau, a persisté dans l’argumentation qu’elle avait développée dans sa réponse du 30 janvier 2007 à la CCRMI.</w:t>
      </w:r>
    </w:p>
    <w:p>
      <w:r>
        <w:rPr>
          <w:b/>
        </w:rPr>
        <w:t>E. 13</w:t>
      </w:r>
    </w:p>
    <w:p>
      <w:r>
        <w:t>Le 4 juillet 2008, les parties ont été informées que la cause était gardée à juger. EN DROIT 1. Interjeté en temps utile devant la juridiction compétente, le recours est recevable (article 56A de la loi sur l'organisation judiciaire du 22 novembre 1941 - LOJ - E 2 05 ; article 53 al. 1er de la loi sur la procédure fiscale du 4 octobre 2001 –LPFisc – D 3 17 ; articles 57 à 65 LPA, applicables par renvoi de l’article 53 al. 4 LPFisc). 2.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Dans le cas d’espèce, force est de constater que l’acte de recours contenait la référence à la décision entreprise, la désignation de la personne concernée et répondait aux exigences de l’article 65 LPA. 3. a.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Sur demande, le représentant doit justifier ses pouvoirs par une procuration écrite (art. 9 LPA). b. Le Tribunal fédéral a jugé que l'aptitude à agir comme mandataire professionnellement qualifié devant le Tribunal administratif doit être examinée de cas en cas, au regard de la cause dont il s'agit, ainsi que de la formation et de la pratique de celui qui entend représenter une partie à la procédure. De manière à éviter le formalisme excessif et, conformément à la volonté du législateur, afin de ne pas limiter inutilement la représentation en matière de contentieux administratif, il est communément admis que le mandataire professionnellement qualifié au sens de l'article 9 LPA doit être doté de qualifications professionnelles dans le domaine dont relève l'objet du litige (ATF 125 I 166 consid. 2bb ; ATA/172/2004 du 2 mars 2004). Dans le cas d’espèce, l’aptitude de mandataire professionnellement qualifié ne saurait être contestée, le notaire ayant les qualifications requises pour représenter une partie à une procédure contentieuse fiscale. 4. La décision du 20 octobre 2005 notifiée au notaire avait pour objet le maintien de la taxation d'une vente immobilière. Cette taxation ne le concernait pas personnellement, comme la CCRMI l’a expressément rappelé dans sa décision du 10 décembre 2007. L’AFC n’a d’ailleurs pas émis la moindre réserve dans sa réponse du 30 janvier 2007 au sujet de l’identité de la recourante, au contraire : elle s’est référée à la recourante ou à l’argumentation du mandataire de celle-ci. En considérant que ce n’était pas faire preuve de formalisme excessif que de se poser la question de la qualité pour recourir d’un notaire dans une procédure contentieuse fiscale, la CCRMI a purement et simplement ignoré le sens clair qu’il convenait de donner à la qualité de mandataire dans laquelle intervenait celui-ci, qui était pourtant reconnaissable dans le cas particulier. A supposer qu’elle ait éprouvé le moindre doute à cet égard, il était légitime d’attendre de bonne foi de sa part qu’elle interpelle Me Ducret à ce sujet. 5. La jurisprudence a tiré de l’article 29 alinéa 1 de la Constitution fédérale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2A.507/2002 du 31 mars 2004, consid.5.2 et références citées ; 1P.109/2004 du 10 mars 2004, consid.2.1 et références citées). C’est en particulier le cas lorsque la violation d’une règle de forme de peu d’importance entraîne une sanction grave et disproportionnée, telle par exemple une décision d’irrecevabilité ( ATA/473/2004 du 25 mai 2004 ; ATA/561/2003 du 23 juillet 2003 ; P. MOOR, Droit administratif, vol. II, Berne 2002, p. 230 et ss n. 2.24.6 et références citées). En l’occurrence, au vu de ce qui précède, en ne retenant que le fait que le signataire du recours s’est exprimé à la première personne du singulier en présentant le recours et en concluant, pour en déduire qu’il aurait ainsi entendu recourir personnellement contre la décision sur réclamation de l’AFC, la CCRMI a fait preuve de formalisme excessif. La décision entreprise sera donc annulée. 6. Selon un principe général de procédure, les qualités des parties sont rectifiées lorsqu'une erreur affecte la dénomination de l'une d'elles. Il s'agit d'une simple erreur rédactionnelle. Une rectification n'est possible qu'à la condition que tout risque de confusion puisse être exclu, autrement dit, qu'il n'existe aucun doute sur l'identité des parties. Il faut donc avoir la certitude que la partie adverse a reconnu l'erreur et qu'elle n'a de ce fait pas été trompée. Ainsi, des doutes raisonnables, même minimes, excluent la simple rectification rédactionnelle, sous peine de violation du principe de l'interdiction de l'arbitraire (ATF 131 I 57 = SJ 2005 I p. 312 et références citées not. ATF 118 Ia 129 consid. 2b ; ATF 116 V 335 consid. 4b). Au vu de ce qui précède il y a lieu de rectifier la qualité de la partie recourante qui est ainsi Mme D______, représentée par Me Jean-Luc Ducret, notaire. 7. Le recours sera admis. La décision de la CCRMI sera annulée, la cause lui étant retournée afin qu’elle statue sur le fond du recours, après avoir rectifié la qualité des parties devant elle. Vu l’issue du litige, aucun émolument ne sera mis à la charge de la recourante. En revanche un émolument de CHF 1’000.- sera mis à la charge de l'AFC. 8. Le recours étant admis, et la recourante ayant dû exposer les frais d'un conseil, une indemnité de CHF 2’000.- lui sera allouée,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