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A/1295/2012 vom 4. Februar 2013</w:t>
      </w:r>
    </w:p>
    <w:p>
      <w:r>
        <w:t>GE Cour de justice, 2013-02-04, FR</w:t>
      </w:r>
    </w:p>
    <w:p>
      <w:r>
        <w:rPr>
          <w:b/>
        </w:rPr>
        <w:t xml:space="preserve">Quelle: </w:t>
      </w:r>
      <w:r>
        <w:t>https://mcp.opencaselaw.ch/entscheid/ge_gerichte_A_1295_2012</w:t>
      </w:r>
    </w:p>
    <w:p>
      <w:r>
        <w:t>FR: GE_GERICHTE A/1295/2012 du 4 février 2013</w:t>
      </w:r>
    </w:p>
    <w:p>
      <w:r>
        <w:t>IT: GE_GERICHTE A/1295/2012 del 4 febbraio 2013</w:t>
      </w:r>
    </w:p>
    <w:p>
      <w:pPr>
        <w:pStyle w:val="Heading2"/>
      </w:pPr>
      <w:r>
        <w:t>Erwägungen</w:t>
      </w:r>
    </w:p>
    <w:p>
      <w:r>
        <w:rPr>
          <w:b/>
        </w:rPr>
        <w:t>E. 9</w:t>
      </w:r>
    </w:p>
    <w:p>
      <w:r>
        <w:t>ème Chambre En la cause Monsieur F___________, domicilié c/o X__________ à Genève Madame F___________, domiciliée à Chêne-Bougeries représentée par Me Olivier WEHRLI, avocat demandeurs contre FONDATION DE PREVOYANCE POUR LE PERSONNEL DES MEDECINS ET VETERINAIRES PAT-BVG, Postfach, 9001 St-Gallen FONDATION INSTITUTION SUPPLETIVE LPP, Administration des comptes de libre passage, case postale, 8036 Zürich défenderesse(s) EN FAIT Par jugement du 18 octobre 2011, la 16 ème chambre du Tribunal de première instance a prononcé le divorce de Madame F___________, née G___________ en 1959, et Monsieur F___________, né en 1953, mariés en date du 5 septembre 1980. Selon le chiffre 5 du jugement précité, le Tribunal de première instance a ordonné le partage par moitié des avoirs de prévoyance professionnelle acquis par l'époux durant le mariage. Le jugement de divorce est devenu définitif le 22 novembre 2011 et a été transmis d'office à la Cour de céans le 4 mai 2012 pour exécution du partage. La Cour de céans a sollicité du demandeur le nom de ses institutions de prévoyance, puis a interpellé les institutions défenderesses en les priant de lui communiquer les montants des avoirs LPP du demandeur acquis durant le mariage, soit entre le 5 septembre 1980 et le 22 novembre 2011. L'instruction menée par la Cour de céans a permis d'établir les faits suivants: PAT-BVG FONDATION DE PRÉVOYANCE POUR LE PERSONNEL DES MÉDECINS ET VÉTÉRINAIRES à St-Gall, selon son courrier du 23 mai 2012, détient le montant de 220'113 fr. 90 (y compris intérêts) représentant la prestation acquise par le demandeur du 1 er octobre 1987 au 22 novembre 2011. Par courrier du 31 mai 2012, la CEH CAISSE DE PRÉVOYANCE DU PERSONNEL DES ÉTABLISSEMENTS PUBLICS MÉDICAUX DU CANTON DE GENÈVE à Genève, a indiqué avoir, pour le compte du demandeur, transféré la somme de 23'713 fr. 20 à la date valeur du 31 mars 1988 à la Caisse de prévoyance de X_________, soit PAT-BVG, sur le compte n° __________ auprès du Crédit Suisse. Le Crédit Suisse et PAT-BVG ont indiqué ne jamais avoir reçu ce montant (courrier PAT-BVG du 23 mai 2012, courriers du Crédit Suisse des 3 août et 21 décembre 2012). Ces documents ont été transmis aux parties en date du 18 janvier 2013. La juridiction leur a indiqué qu'à défaut d'observations d'ici au 4 février 2013,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le juge de première instance a ordonné le partage par moitié de la prestation de sortie acquise durant le mariage par le demandeur. Les dates pertinentes sont, d’une part, celle du mariage, le 5 septembre 1980, d’autre part le 22 novembre 1011, date à laquelle le jugement de divorce est devenu exécutoire. Selon les documents produits, la prestation acquise pendant le mariage par le demandeur est de 220’113 fr. 90 plus 23'713 fr. 20, les intérêts ayant déjà été calculés par les institutions de prévoyance défenderesses. Ainsi le demandeur doit à son ex-épouse le montant de 121'913 fr. 55 (220'113 fr. 90 + 23'713 fr. 20 = 243'827 fr. 10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Condamne la PAT-BVG FONDATION DE PRÉVOYANCE POUR LE PERSONNEL DES MÉDECINS ET VÉTÉRINAIRES à verser à Madame F___________, née G___________ la somme de 121'913 fr. 55 sur un compte à ouvrir en sa faveur auprès de la Fondation Institution supplétive LPP, ainsi que des intérêts compensatoires au sens des considérants, dès le 22 novembre 2011 jusqu’au moment du tranfert.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