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A/1289/2014 vom 17. Juli 2014</w:t>
      </w:r>
    </w:p>
    <w:p>
      <w:r>
        <w:t>GE Cour de justice, 2014-07-17, FR</w:t>
      </w:r>
    </w:p>
    <w:p>
      <w:r>
        <w:rPr>
          <w:b/>
        </w:rPr>
        <w:t xml:space="preserve">Quelle: </w:t>
      </w:r>
      <w:r>
        <w:t>https://mcp.opencaselaw.ch/entscheid/ge_gerichte_A_1289_2014</w:t>
      </w:r>
    </w:p>
    <w:p>
      <w:r>
        <w:t>FR: GE_GERICHTE A/1289/2014 du 17 juillet 2014</w:t>
      </w:r>
    </w:p>
    <w:p>
      <w:r>
        <w:t>IT: GE_GERICHTE A/1289/2014 del 17 luglio 2014</w:t>
      </w:r>
    </w:p>
    <w:p>
      <w:pPr>
        <w:pStyle w:val="Heading2"/>
      </w:pPr>
      <w:r>
        <w:t>Regeste</w:t>
      </w:r>
    </w:p>
    <w:p>
      <w:r>
        <w:t>CONTRIBUTION CAUSALE ; PORT ; NAVIGATION ; ÉGALITÉ DE TRAITEMENT ; TAXE D'UTILISATION DU DOMAINE PUBLIC | La taxe d'amarrage est une redevance d'utilisation du domaine public qui doit respecter le principe d'équivalence, lequel concrétise l'interdiction de l'arbitraire en matière de contributions causales. En prévoyant que la taxe d'amarrage est due pour l'année entière sans être fractionnable ou remboursable, la LNAv ne respecte pas le principe de l'égalité de traitement. Recours admis. | LNav.11 ; RNav.11 ; RNav.13</w:t>
      </w:r>
    </w:p>
    <w:p>
      <w:pPr>
        <w:pStyle w:val="Heading2"/>
      </w:pPr>
      <w:r>
        <w:t>Erwägungen</w:t>
      </w:r>
    </w:p>
    <w:p>
      <w:r>
        <w:rPr>
          <w:b/>
        </w:rPr>
        <w:t>E. 3</w:t>
      </w:r>
    </w:p>
    <w:p>
      <w:r>
        <w:t>La taxe d’amarrage est une taxe causale, plus spécifiquement une redevance d'utilisation du domaine public, à savoir une somme que le bénéficiaire acquitte en contrepartie du droit exclusif ou spécial d'utiliser certains biens publics (cf. ATF 138 II 70 consid. 5.3 p. 74 et les références citées). Ces redevances doivent respecter le principe de l'équivalence qui concrétise l'interdiction de l'arbitraire en matière de contributions causales : elles doivent être fondée sur des critères appropriés et objectifs et ne pas créer des différences qui ne seraient pas justifiées par des motifs pertinents. En d’autres termes, elles doivent être en rapport avec la valeur objective de la prestation fournie et rester dans des limites raisonnables (Arrêt du Tribunal fédéral 2C_226/2012 du 10 juin 2013 et les références citées). Elles doivent aussi respecter le principe de l’égalité de traitement, selon lequel les personnes qui se trouvent dans des situations semblables doivent être taxées de façon semblable, tandis que les différences de situation doivent conduire à une charge différente. En l’espèce, en prévoyant que la taxe d’amarrage est due pour l’année entière sans être fractionnable ou remboursable, la LNav conduit à traiter de la même manière des situations de fait qui ne sont pas identiques, et permet à l’autorité de percevoir une somme qui n’est plus en relation avec la prestation fournie. La situation est à cet égard similaire à celle qui avait cours en matière d’impôt sur les bateaux avant la modification, le 26 juin 2008, de l’art. 433A de la loi générale sur les contributions publiques du 9 novembre l887 (LCP - D 3 05) suite à l’ ATA/406/2005 du 7 juin 2005.</w:t>
      </w:r>
    </w:p>
    <w:p>
      <w:r>
        <w:rPr>
          <w:b/>
        </w:rPr>
        <w:t>E. 4</w:t>
      </w:r>
    </w:p>
    <w:p>
      <w:r>
        <w:t>Au vu de ce qui précède, le recours sera admis et la décision litigieuse sera annulée. Il appartiendra à l’autorité intimée d’émettre une nouvelle facture calculée pro rata temporis en fonction de la durée pendant laquelle la place d’amarrage en question était attribuée à la recourante. Aucune indemnité de procédure ne sera allouées à la recourante, qui n’y a pas conclu, et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