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A/1287/2024 vom 19. August 2025</w:t>
      </w:r>
    </w:p>
    <w:p>
      <w:r>
        <w:t>GE Cour de justice, 2025-08-19, FR</w:t>
      </w:r>
    </w:p>
    <w:p>
      <w:r>
        <w:rPr>
          <w:b/>
        </w:rPr>
        <w:t xml:space="preserve">Quelle: </w:t>
      </w:r>
      <w:r>
        <w:t>https://mcp.opencaselaw.ch/entscheid/ge_gerichte_A_1287_2024</w:t>
      </w:r>
    </w:p>
    <w:p>
      <w:r>
        <w:t>FR: GE_GERICHTE A/1287/2024 du 19 août 2025</w:t>
      </w:r>
    </w:p>
    <w:p>
      <w:r>
        <w:t>IT: GE_GERICHTE A/1287/2024 del 19 agosto 2025</w:t>
      </w:r>
    </w:p>
    <w:p>
      <w:pPr>
        <w:pStyle w:val="Heading2"/>
      </w:pPr>
      <w:r>
        <w:t>Regeste</w:t>
      </w:r>
    </w:p>
    <w:p>
      <w:r>
        <w:t>AMÉNAGEMENT DU TERRITOIRE ET DROIT PUBLIC DES CONSTRUCTIONS;CONSTRUCTION ET INSTALLATION;TRAVAUX DE CONSTRUCTION;PERMIS DE CONSTRUIRE;LOGEMENT;TRAVAUX SOUMIS À AUTORISATION;DROIT D'ÊTRE ENTENDU;MOTIVATION DE LA DÉCISION;INSPECTION LOCALE;ZONE AGRICOLE;CONFORMITÉ À LA ZONE;AUTORISATION DÉROGATOIRE(EN GÉNÉRAL);REMISE EN L'ÉTAT;PROPORTIONNALITÉ;INTÉRÊT PUBLIC;PESÉE DES INTÉRÊTS;RÉTABLISSEMENT DE L'ÉTAT ANTÉRIEUR;DROIT CONSTITUTIONNEL À LA PROTECTION DE LA BONNE FOI;APPLICATION RATIONE TEMPORIS;ESTHÉTIQUE;CONSTRUCTION EXISTANTE;RÉNOVATION D'IMMEUBLE | Recours contre un jugement du TAPI confirmant un ordre de remise en état portant sur des travaux exécutés sans autorisation en zone agricole (réalisation d'un couvert au-dessus d'une terrasse, de deux avant-toits le long de la façade ouest du bâtiment et de cinq châssis de toiture en remplacement de deux lucarnes). Examen de la réalisation des conditions de l'art. 24c LAT (autorisation dérogatoire en zone agricole). Vu le préavis de la CMNS, l’identité de la construction n'est pas respectée pour l’essentiel à la suite des travaux sollicités, déjà exécutés, ce qui exclut la délivrance d'une autorisation dérogatoire. Rejet du recours. | Cst..5.al3; Cst..9; Cst..29.al2; LAT.16a.al1; LAT.22; LAT.24c; OAT.41; OAT.42; LaLAT.27C; LPA.37.letc; LCI.1.al1; LCI.3.al3; LCI.4; LCI.15; LaLAT.13B; LPMNS.1.letb; LPMNS.46.al2; LPMNS.47.al1; LPMNS.42C; LPRVers.1; LPRVers.2.al1; LPRVers.3.al1; LPRVers.7.al1</w:t>
      </w:r>
    </w:p>
    <w:p>
      <w:pPr>
        <w:pStyle w:val="Heading2"/>
      </w:pPr>
      <w:r>
        <w:t>Erwägungen</w:t>
      </w:r>
    </w:p>
    <w:p>
      <w:r>
        <w:rPr>
          <w:b/>
        </w:rPr>
        <w:t>E. 3</w:t>
      </w:r>
    </w:p>
    <w:p>
      <w:r>
        <w:t>Le recourant sollicite la tenue d'un transport sur place ainsi que son audition et se plaint de la violation de son droit d'être entendu par le TAPI, notamment d'un défaut de motivation. Dans la mesure où ces requêtes et le grief sont en grande partie liés, ils seront traités ensemble.</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outre, le droit d'être entendu n'implique pas le droit d'être entendu oralement, ni celui d'obtenir l'audition de témoins (ATF 134 I 140 consid. 5.3 ; 130 II 425 consid. 2.1).</w:t>
      </w:r>
    </w:p>
    <w:p>
      <w:r>
        <w:rPr>
          <w:b/>
        </w:rPr>
        <w:t>E. 3.2</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Le droit d’être entendu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ATA/691/2025 du 24 juin 2025 consid. 3.4 ; ATA/616/2025 du 3 juin 2025 consid. 3.3 ; ATA/151/2023 du 14 février 2023 consid. 3b).</w:t>
      </w:r>
    </w:p>
    <w:p>
      <w:r>
        <w:rPr>
          <w:b/>
        </w:rPr>
        <w:t>E. 3.4</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3.5</w:t>
      </w:r>
    </w:p>
    <w:p>
      <w:r>
        <w:t>En l'espèce, le recourant soutient d'abord que son audition permettrait d'expliciter l'historique des travaux survenus sur le bâtiment litigieux et de prouver que celui-ci ne revêtait ni intérêt particulier digne de protection ni cachet, s'agissant de rénovations entièrement prises en charge par lui-même en 1978. Elle permettrait également de mettre en exergue les nombreuses promesses formulées oralement par le DT qui l'avaient induit en erreur au regard des travaux entrepris.</w:t>
      </w:r>
    </w:p>
    <w:p>
      <w:r>
        <w:rPr>
          <w:b/>
        </w:rPr>
        <w:t>E. 3.5.1</w:t>
      </w:r>
    </w:p>
    <w:p>
      <w:r>
        <w:t>Or, le recourant s'est exprimé par écrit sur l'historique des travaux et n'indique pas quels éléments supplémentaires et utiles à la solution du litige, qu'il ne pourrait pas mettre par écrit, son audition permettrait d'apporter sur ce point. En outre, comme cela sera exposé ci-après, la question de savoir si les travaux entrepris en 1978 revêtaient un intérêt particulier digne de protection n'a aucune incidence sur la solution du litige. Le recourant s'est également exprimé par écrit sur la question des prétendues promesses formulées oralement par le DT. Il n'explique pas en quoi son audition serait susceptible d'apporter de nouveaux éléments ni pour quelles raisons il ne pourrait pas, le cas échéant, les détailler par écrit. En outre et surtout, son audition ne suffirait pas à prouver ses allégations, ce d'autant moins qu'il ne fournit aucune précision sur les circonstances dans lesquelles les assurances alléguées auraient été données ni sur leur contenu exact. Par conséquent, il ne sera pas donné suite à la demande de comparution personnelle.</w:t>
      </w:r>
    </w:p>
    <w:p>
      <w:r>
        <w:rPr>
          <w:b/>
        </w:rPr>
        <w:t>E. 3.5.2</w:t>
      </w:r>
    </w:p>
    <w:p>
      <w:r>
        <w:t>Le recourant soutient ensuite qu'un transport sur place serait nécessaire pour démontrer que les éléments litigieux respectent les exigences posées par le plan de site C______ – Le D______, que de nombreuses bâtisses dans le quartier disposent de « velux » similaires à ceux qu'il a érigés et que les travaux auraient été menés à bien et dans le respect de la nature avoisinante et notamment des rives B______. Or, il sera vu ci-après que le plan de site ainsi que son règlement ne doivent pas être pris en compte dans la résolution du présent litige et que la présence de « velux » similaires à ceux qu'il a érigés sur des bâtisses situées dans le même quartier n'est pas décisive pour la résolution du litige. En outre, le dossier contient des photographies de l'état antérieur du bâtiment ainsi qu'un reportage photographique détaillé qui permet de visualiser la situation actuelle et donc les travaux exécutés en 2013. Ces photographies sont suffisantes pour se rendre compte de la situation du bâtiment avant et après l'exécution des travaux. Par ailleurs, la question de savoir si les travaux ont été menés à bien et dans le respect de la nature avoisinante et notamment des rives B______ n'est pas pertinente pour la solution du litige. Pour le surplus, le recourant s'est vu offrir la possibilité de faire valoir ses arguments par écrit. Il s'est ainsi exprimé de manière circonstanciée sur l'objet du litige et a produit les pièces auxquelles il s'est référé dans ses écritures. Il en va de même du DT. La chambre de céans dispose ainsi d'un dossier qui lui permet de statuer en connaissance de cause. En définitive, ni l'audition du recourant ni la tenue d'un transport sur place n'apparaissent nécessaires. Il ne sera ainsi pas donné suite aux demandes de l'intéressé.</w:t>
      </w:r>
    </w:p>
    <w:p>
      <w:r>
        <w:rPr>
          <w:b/>
        </w:rPr>
        <w:t>E. 3.5.3</w:t>
      </w:r>
    </w:p>
    <w:p>
      <w:r>
        <w:t>Au vu de ce qui précède, le TAPI n'a pas violé le droit d'être entendu du recourant en refusant de procéder à un transport sur place et de l'entendre. Sous l'angle de la motivation du jugement, le recourant relève à juste titre que la présence des velux sur d'autres bâtiments du quartier, qui permettrait selon lui d'établir que « ce type de constructions » ne serait contraire ni au plan de site ni à l'harmonie du quartier n'a pas été mentionnée par le TAPI. Néanmoins, ce dernier a retenu que la modification de deux lucarnes en cinq châssis n'était non seulement pas nécessaire aux fins d'habitation mais également qu'elle portait atteinte à l'architecture des toitures du bâtiment concerné. Il a donc implicitement considéré que la présence des « velux » sur d'autres bâtiments du quartier, pour autant qu'elle soit avérée, n'avait pas d'incidence sur la solution du litige. Il pouvait ainsi, sans violer le droit d'être entendu du recourant, s'abstenir de mentionner la présence desdits « velux ». Enfin, le TAPI n'a certes pas examiné expressément la pertinence de l'audition du recourant, que celui-ci avait sollicitée non pas dans ses conclusions préalables mais dans la partie en fait de son mémoire. La juridiction précédente a toutefois indiqué qu'elle disposait d’un dossier complet lui permettant de trancher le présent litige en connaissance de cause, dans la mesure où les plans et les documents versés au dossier, notamment les photographies des lieux, ainsi que la consultation des données librement accessibles sur le système d’information du territoire genevois, permettaient de visualiser les travaux litigieux et le périmètre dans lequel ils s’inséraient. Le TAPI a ainsi satisfait à son devoir de motivation, laquelle permettait au recourant de discerner les motifs qui ont guidé le refus de la juridiction précédente de l'entendre, bien que ladite motivation soit implicite. Même à retenir une violation du droit d'être entendu de l'intéressé sur ce point, celle-ci devrait être considérée comme étant réparée devant la chambre de céans. D'une part, une telle réparation est, sur le principe, admissible puisque la chambre de céans dispose du même pouvoir d'examen que le TAPI portant sur les faits et le droit, à l’exclusion de l’opportunité (art. 61 al. 1 et 2 LPA ; ATA/11/2024 du 9 janvier 2024 consid. 2). D'autre part, la violation ne saurait être considérée comme grave et le recourant a pu, à l'occasion de plusieurs échanges d'écritures, faire valoir ses arguments devant la chambre de céans aussi efficacement qu'il aurait pu le faire devant le TAPI. Le renvoi constituerait finalement une vaine formalité aboutissant à un allongement inutile de la procédure, la chambre de céans ayant exposé les motifs pour lesquels elle considère que l'audition du recourant ne se justifiait pas, et ne se justifie toujours pas. Le grief sera donc écarté.</w:t>
      </w:r>
    </w:p>
    <w:p>
      <w:r>
        <w:rPr>
          <w:b/>
        </w:rPr>
        <w:t>E. 4</w:t>
      </w:r>
    </w:p>
    <w:p>
      <w:r>
        <w:t>Le recourant reproche au DT d'avoir, sans motif justificatif, retardé l'instruction de sa demande et estime que le droit en vigueur au moment du dépôt de celle-ci aurait dû lui être appliqué.</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 ATA/739/2024 du 18 juin 2024 consid. 3.7 et l'arrêt cité ; Thierry TANQUEREL, Manuel de droit administratif, 2 e éd., 2018, n. 403 ss).</w:t>
      </w:r>
    </w:p>
    <w:p>
      <w:r>
        <w:rPr>
          <w:b/>
        </w:rPr>
        <w:t>E. 4.1.1</w:t>
      </w:r>
    </w:p>
    <w:p>
      <w:r>
        <w:t>Pour les autorisations faisant suite à une requête, le droit applicable est en principe celui qui est en vigueur au moment où la décision est prise (ATF 139 II 243 consid. 11 ; 139 II 263 consid. 6 ; ATA/739/2024 précité et l'arrêt cité). Dès lors que cette décision vise à régler un comportement futur, il n’y a pas de raison, en tout cas sous l’angle de l’intérêt public, de ne pas appliquer le droit en vigueur au moment où la légalité de ce comportement se pose (ATF 139 II 243 , consid. 11 ; 139 II 263 consid. 6 ; ATA/1200/2023 du 7 novembre 2023 consid. 9).</w:t>
      </w:r>
    </w:p>
    <w:p>
      <w:r>
        <w:rPr>
          <w:b/>
        </w:rPr>
        <w:t>E. 4.1.2</w:t>
      </w:r>
    </w:p>
    <w:p>
      <w:r>
        <w:t>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 3 ; ATA/1232/2022 précité consid. 9 et la référence citée).</w:t>
      </w:r>
    </w:p>
    <w:p>
      <w:r>
        <w:rPr>
          <w:b/>
        </w:rPr>
        <w:t>E. 4.1.3</w:t>
      </w:r>
    </w:p>
    <w:p>
      <w:r>
        <w:t>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 ATA/1232/2022 précité consid. 9 et la référence citée ; Milena PIREK, L'application du droit public dans le temps : la question du changement de loi, 2018, n. 752 p. 324 s.).</w:t>
      </w:r>
    </w:p>
    <w:p>
      <w:r>
        <w:rPr>
          <w:b/>
        </w:rPr>
        <w:t>E. 4.2</w:t>
      </w:r>
    </w:p>
    <w:p>
      <w:r>
        <w:t>Selon l'art. 4 de la loi sur les constructions et les installations diverses du 14 avril 1988 (LCI - L 5 05), le délai de réponse à toute demande d’autorisation est de 60 jours à compter de la date d’enregistrement de la demande. Dans le cadre d'une autorisation en procédure accélérée, le délai de réponse est de 30 jours (al. 1). Toutefois, en cas de demande de dérogation, de requête portant sur un bâtiment protégé, d’application des dispositions régissant les zones de développement, si l’importance du projet le justifie ou encore pour les entreprises soumises à la loi fédérale sur le travail dans l’industrie, l’artisanat et le commerce, du 13 mars 1964 (Loi sur le travail, LTr - 822.11), le DT peut prolonger le délai et en fixer l’échéance. Le requérant en est avisé par écrit (al. 2). Lorsque le DT demande de manière motivée des pièces ou renseignements complémentaires nécessaires, le délai est suspendu jusqu’à réception des documents. Le requérant en est avisé par écrit (al. 3). Si le requérant n’a pas reçu de réponse dans le délai, il peut aviser le DT, par lettre recommandée, qu’il va procéder à l’exécution de ses plans. À défaut de notification de la décision dans un nouveau délai de dix jours à compter de la réception de cet avis, le requérant est en droit de commencer les travaux (al. 4).</w:t>
      </w:r>
    </w:p>
    <w:p>
      <w:r>
        <w:rPr>
          <w:b/>
        </w:rPr>
        <w:t>E. 4.3</w:t>
      </w:r>
    </w:p>
    <w:p>
      <w:r>
        <w:t>En l'espèce, l'autorisation sollicitée faisant suite à une requête du recourant, le droit applicable est en principe, sous réserve d'un abus de droit de l'autorité, celui en vigueur au moment où la décision querellée a été prise, soit le 27 février 2024, à un moment où le plan de site avait déjà été adopté par le Conseil d'État. Le recourant a déposé sa requête le 17 juin 2013 et le refus querellé a été prononcé le 27 février 2024, soit dix ans, huit mois et dix jours plus tard. Ce délai excède de façon manifeste les délais fixés à l'art. 4 LCI et n'est pas conforme au principe de célérité. Le DT a certes demandé des compléments et explications, mais ceux-ci ont été fournis dans des délais raisonnables, ce qui n'est pas contesté. De plus, il n'y a eu aucun suivi entre la fin de l'année 2013 et le milieu de l'année 2018 et, lorsque les dernières explications du recourant ont été apportées en février 2021, le DT n'a statué que trois ans plus tard. Le DT ne justifie par aucun motif objectif la longueur de la procédure, puisqu'il se limite à indiquer que le recourant aurait dû l'interpeller et le mettre en demeure de statuer, afin notamment « d'échapper à l'application du plan de site ». Or, dans la mesure où le recourant avait déjà exécuté les travaux, certes sans droit, on ne pouvait raisonnablement exiger de lui qu'il mette le DT en demeure de statuer. Par ailleurs, si le recourant n'aurait certes pas dû entreprendre les travaux avant d'avoir obtenu une autorisation, rien ne permet de retenir qu'il serait responsable du retard pris ensuite dans l'instruction du dossier, ce d'autant moins que l'exécution de travaux sans autorisation ainsi que l'absence d'interpellation par un requérant n'habilite pas le DT à retarder sans raison une procédure. Il y a donc lieu de retenir que la procédure a été retardée sans motif justificatif et sans la faute du recourant. Par ailleurs, il ressort notamment du préavis de la commune du 29 juillet 2023 que celle-ci a réservé son préavis jusqu'à l'entrée en vigueur du plan de site (début 2018). Les 19 août 2013 et 21 août 2013, le SMS et la CMNS se sont notamment (mais pas uniquement) fondés sur le futur plan de site pour rendre un préavis défavorable. Ainsi, et dans la mesure où le DT n'explique pas les raisons du retard considérable pris dans le traitement du dossier, il paraît suffisamment vraisemblable que l'autorité a retardé l'instruction de la demande dans l'attente de l'adoption du plan de site. Par conséquent, et dans la mesure où le règlement dudit plan prévoit des dispositions qui peuvent désavantager le recourant, c'est le droit en vigueur au moment du dépôt de la demande, soit le 17 juin 2013, qui doit être appliqué. En outre, le plan de site n'ayant à ce moment-là pas encore été adopté, il n'en sera pas tenu compte.</w:t>
      </w:r>
    </w:p>
    <w:p>
      <w:r>
        <w:rPr>
          <w:b/>
        </w:rPr>
        <w:t>E. 5</w:t>
      </w:r>
    </w:p>
    <w:p>
      <w:r>
        <w:t>Le recourant estime que le DT aurait dû prononcer un refus conservatoire et qu'il a violé le principe de la bonne foi. Le refus d'autorisation devrait, selon lui, être annulé pour ce motif.</w:t>
      </w:r>
    </w:p>
    <w:p>
      <w:r>
        <w:rPr>
          <w:b/>
        </w:rPr>
        <w:t>E. 5.1</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5.1.1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ATA/425/2025 du 15 avril 2025 consid. 5.1).</w:t>
      </w:r>
    </w:p>
    <w:p>
      <w:r>
        <w:rPr>
          <w:b/>
        </w:rPr>
        <w:t>E. 5.1.2</w:t>
      </w:r>
    </w:p>
    <w:p>
      <w:r>
        <w:t>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précité consid. 4.1).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5.2</w:t>
      </w:r>
    </w:p>
    <w:p>
      <w:r>
        <w:t>Selon l'art. 13B de la loi d'application de la loi fédérale sur l'aménagement du territoire du 4 juin 1987 (LaLAT - L 1 30), lorsque l'adoption, la modification ou l'abrogation d'un plan d'affectation du sol paraît nécessaire, à l'effet de prévenir une construction qui serait de nature à compromettre des objectifs d'urbanisme ou la réalisation d'équipements publics, le DT peut refuser une autorisation de construire sollicitée en vertu de l'art. 1 LCI (al. 1).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(al. 2).</w:t>
      </w:r>
    </w:p>
    <w:p>
      <w:r>
        <w:rPr>
          <w:b/>
        </w:rPr>
        <w:t>E. 5.2.1</w:t>
      </w:r>
    </w:p>
    <w:p>
      <w:r>
        <w:t>Selon la jurisprudence constante de la chambre administrative, l'art. 13B LaLAT – en substance équivalent à l'ancien art. 17 de cette loi – est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 ATA/17/2023 du 10 janvier 2023 consid. 9c ; ATA/146/2021</w:t>
      </w:r>
    </w:p>
    <w:p>
      <w:r>
        <w:rPr>
          <w:b/>
        </w:rPr>
        <w:t>E. 5.2.2</w:t>
      </w:r>
    </w:p>
    <w:p>
      <w:r>
        <w:t>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L'application de cette disposition ne nécessite pas l'existence d'un plan d'affectation, mais uniquement son projet lié à des objectifs d'urbanisme. Il suffit que la construction envisagée paraisse de nature à contrecarrer les objectifs visés ( ATA/17/2023 précité consid. 9c et l'arrêt cité). L'art. 13B LaLAT accorde au DT une grande marge d'appréciation que le juge ne peut revoir qu'en cas d'excès ou d'abus (art. 61 al. 1 let. a LPA ; ATA/17/2023 précité consid. 9c ; ATA/146/2021 précité consid. 7d et l'arrêt cité).</w:t>
      </w:r>
    </w:p>
    <w:p>
      <w:r>
        <w:rPr>
          <w:b/>
        </w:rPr>
        <w:t>E. 5.2.3</w:t>
      </w:r>
    </w:p>
    <w:p>
      <w:r>
        <w:t>En application de la maxime inquisitoire, qui prévaut en particulier en droit public (art. 19 et 20 LPA), l’autorité définit les faits pertinents et ne tient pour existants que ceux qui sont dûment prouvés. La maxime inquisitoire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ATA/637/2025 du 10 juin 2025 consid. 3.1 et l'arrêt cité).</w:t>
      </w:r>
    </w:p>
    <w:p>
      <w:r>
        <w:rPr>
          <w:b/>
        </w:rPr>
        <w:t>E. 5.3</w:t>
      </w:r>
    </w:p>
    <w:p>
      <w:r>
        <w:t>En l'espèce, il a été vu que le DT a tardé sans motif objectif à statuer sur la demande du recourant. Aucune assurance n'a toutefois été donnée à l'intéressé et ce dernier n'apporte pas la preuve du contraire. En effet, bien qu'il allègue que le DT lui aurait donné oralement des promesses, la chambre de céans ne saurait se fonder sur ses seules déclarations pour tenir cette information pour établie, ce d'autant moins que celle-ci n'est confirmée par aucune pièce du dossier et que l'intéressé ne fournit aucune précision sur les circonstances dans lesquelles les assurances alléguées auraient été données ni sur leur contenu exact. Dès lors, le droit à la protection de la bonne foi, qui impliquerait en l'espèce la délivrance de l'autorisation sollicitée, ne peut entrer en ligne de compte que si le comportement de l’administration a été susceptible d’éveiller chez le recourant une attente ou une espérance légitime. Tel n'est toutefois pas le cas, au vu des préavis défavorables de certaines instances spécialisées délivrés en 2013 puis de 2018 à 2023 et des diverses demandes de compléments. Pour ce motif d'ailleurs, l'inaction et le silence de l'autorité pendant cinq ans, de 2013 à 2018, ne pouvaient pas être interprétés comme l'assurance que l'autorisation serait délivrée. Ainsi, bien que le retard dans le traitement du dossier ne soit pas justifié, le comportement du DT ne saurait conduire à la délivrance de l'autorisation sollicitée. L'adoption du plan de site et son règlement font partie des éléments qui ont fondé la décision de refus prononcée par le DT. Toutefois, certaines instances spécialisées ont préavisé le projet défavorablement pour d'autres motifs. En particulier, le 21 août 2013, la CMNS a indiqué que les transformations déjà réalisées sur le bâtiment concerné étaient contraires à la LaLAT et qu'elles portaient une atteinte patrimoniale importante au bâtiment. Puis, le DT a considéré que le projet nuisait à l'esthétique et à l'harmonie du quartier (art. 15 LCI) et que les couverts réalisés, qui n'étaient pas conformes à la zone agricole, contrevenaient aux art. 24c de la loi fédérale sur l’aménagement du territoire du 22 juin 1979 (LAT - RS 700) et 27c LaLAT. Par conséquent, le refus de délivrer l'autorisation de construire repose également sur d'autres motifs que la contradiction des travaux au plan de site. Par conséquent, le DT n'a pas abusé de son pouvoir d'appréciation en estimant que le prononcé d'un refus conservatoire ne s'imposait pas. Le grief sera donc écarté. 6. Le recourant se prévaut de l'application des art. 24c LAT et 27c LaLAT. 6.1 Selon l'art. 22 LAT, aucune construction ou installation ne peut être créée ou transformée sans autorisation de l’autorité compétente (al. 1). L’autorisation est délivrée si la construction ou l’installation est conforme à l’affectation de la zone (al. 2 let. a ) et si le terrain est équipé (al. 2 let. b). Le droit fédéral et le droit cantonal peuvent poser d’autres conditions (al. 3). À Genève, l'art. 1 al. 1 LCI prévoit que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ou modifier même partiellement le volume, l’architecture, la couleur, l’implantation, la distribution ou la destination d’une construction ou d’une installation (let. b). 6.2 Sont conformes à l’affectation de la zone agricole les constructions et installations qui sont nécessaires à l’exploitation agricole ou à l’horticulture productrice (art. 16a al. 1 LAT). Aux termes de l'art. 24c LAT, intitulé « constructions et installations existantes sises hors de la zone à bâtir et non conformes à l’affectation de la zone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3). Eu égard au principe de séparation entre les parties constructibles et non constructibles du territoire, l'adjectif « nécessaire » doit être interprété de façon restrictive : il ne s'agir pas d'autoriser des solutions généreuses et confortables mais seulement ce qui se révèle objectivement indispensables dans chacun des trois cas visés (arrêt du Tribunal fédéral 1C_247/2015 du 14 janvier 2016 consid. 4.2 ; Alexander RUCH/Rudolf MUGGLI, in Heinz AEMISEGGER/Pierre MOOR/Alexander RUCH/Pierre TSCHANNEN [éd.], Commentaire pratique LAT : Construire hors zone à bâtir, 2017, n. 36 ad art. 24c LAT). L’art. 27C LaLAT reprend le contenu de l’art. 24c LAT. 6.3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(ATF 150 II 48 consid. 2.3 ; arrêt du Tribunal fédéral 1C_557/2021 du 28 mars 2023 consid. 4.1).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 arrêt du Tribunal fédéral 1C_491/2020 du 10 mai 2021 consid. 2.1 et les références citées). L’art. 41 al. 1 de l'ordonnance sur l’aménagement du territoire du 28 juin 2000 (OAT - RS 700.1)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et ne s'appliquent qu'aux éléments autorisés conformément à l'ancien droit applicable (arrêt du Tribunal fédéral 1C_570/2022 du 19 juillet 2023 consid. 3.3). Les al. 2 et 3 de l’art. 24c LAT accordent une garantie de la situation acquise élargie, car, outre la préservation de leur état actuel, ils autorisent également la modification partielle, l’agrandissement modéré et la reconstruction des constructions légalement érigées selon l’ancien droit (ATF 147 II 25 consid. 3.2 = JdT 2022 I p. 248, 249). ATF 140 II 509 consid 2.7 = JdT 2015 I 335 ; arrêt du Tribunal fédéral 1C_49/2019 du 11 novembre 2019 consid. 5).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 ATA/974/2022 du 27 septembre 2022 et la référence citée). Il suffit que l’affectation agricole soit abandonnée pour que le critère de la non‑conformité à la zone du bâtiment soit rempli. À cette condition, l’ensemble du bâtiment peut être transformé conformément à l’art. 24c al. 2 LAT (ATF 147 II 25 consid. 3.8 = JdT 2022 I p. 248, 253). 6.4 L'art. 41 OAT explicite le champ d'application de l'art. 24c LAT. Selon cette disposition, l’art. 24c LAT est applicable aux constructions et installations qui ont été érigées ou transformées légalement avant l’attribution du bien-fonds à un territoire non constructible au sens du droit fédéral (constructions et installations érigées selon l’ancien droit).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Il s'agit ainsi de comparer son état au moment de l'attribution du bien‑fonds à la zone de non-bâtir avec celui que vise à réaliser la demande d'autorisation de construire (Alexander RUCH/Rudolf MUGGLI, in Heinz AEMISEGGER/Pierre MOOR/Alexander RUCH/Pierre TSCHANNEN [éd.], op. cit ., n. 26 ad art. 24c LAT).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ni 100 m 2 ,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 6.5 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précité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 ATA/278/2025 du 18 mars 2025 consid. 5.4.5). La question de savoir si l’identité de la construction ou de l’installation est respectée pour l’essentiel de dépend pas d'un élément en particulier (arrêt du Tribunal fédéral 1A.238/2003 du 17 juin 2004 consid. 2). L'examen global requis devra notamment prendre en compte l'aspect extérieur de la construction, la nature et l'intensité de son utilisation, le nombre de logement qu'elle comportement, son équipement, sa vocation économique, les incidences de sa transformation sur l'organisation du territoire et l'environnement, ainsi que le coût des travaux (Alexander RUCH/Rudolf MUGGLI, in Heinz AEMISEGGER/Pierre MOOR/Alexander RUCH/Pierre TSCHANNEN [éd.], op. cit ., n. 28 ad art. 24c LAT). L'identité de la construction ou de l'installation est respectée pour l'essentiel lorsque la modification projetée sauvegarde, dans ses traits essentiels, les dimensions ainsi que l'apparence du bâtiment et qu'elle n'entraîne pas d'effets nouveaux notables sur l'affectation du sol, l'équipement et l'environnement. La transformation doit être d'importance réduite par rapport à l'état existant de l'ouvrage (ATF 127 II 205 consid. 3a ; 123 II 256 consid. 4 ; arrêts du Tribunal fédéral 1C_162/2021 du 8 septembre 2021 consid. 2.1.1 ; 1C_480/2019 du 16 juillet 2020 consid. 4.1). Du point de vue de l'aménagement du territoire, l'examen global auquel il s'agit de procéder, même lorsque l'ampleur maximale de l'agrandissement et respectée, vise à assurer l'intégration optimale du projet dans le contexte local. Il permet en particulier de poser certaines exigences quant à la réalisation concrète de l'agrandissement prévu, par exemple en vue de rendre les transformations aussi discrètes que possibles (Rudolf MUGGLI in Heinz AEMISEGGER/Alfred KUTTLER/Pierre MOOR/Alexander RUCH/Pierre TSCHANNEN [éd.], Commentaire de la loi sur l'aménagement du territoire, 2010, art. 24c, p. 19 n. 24). 6.6 Il est indifférent, dans l'application de l'art. 42 al. 1 OAT, que la construction d'origine n'ait pas de qualité particulière et que le bâtiment réalisé soit esthétiquement préférable. Les art. 24c LAT et 42 OAT n'ont en effet pas pour objet d'autoriser n'importe quelle amélioration esthétique des bâtiments, mais visent avant tout le maintien du bâti existant en zone agricole (arrêt du Tribunal fédéral 1C_401/2018 du 24 septembre 2019 consid. 3.2). 6.7 Depuis l'entrée en vigueur, le 1 er septembre 2000, de la révision partielle de 1998 de la LAT, l'identité de la construction a notamment été jugée non respectée pour les cas suivants : augmentation de la hauteur d'une clôture en treillis de 1.4 à 2.85 m et ajout d'une paroi en bois destinée à protéger des regards extérieurs (arrêt du Tribunal fédéral 1C_330/2012 du 22 avril 2013 consid. 4) ; réalisation d'un abri pour voiture de dimensions considérables sur une surface gravillonnée jusque-là utilisée comme aire de stationnement (Alexander RUCH/Rudolf MUGGLI, in Heinz AEMISEGGER/Pierre MOOR/Alexander RUCH/Pierre TSCHANNEN [éd.], op. cit ., n. 37 ad art. 24c LAT et la référence citée). 6.8 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–soit favorable au projet.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 ATA/278/2025 du 18 mars 2025 consid. 5.5 et les références citées). 6.9 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ATA/663/2025 du 16 juin 2025 consid. 5.1).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 ATA/739/2024 du 18 juin 2024 consid. 6.5 et l'arrêt cité). 6.10 La CMNS donne son préavis sur tous les objets qui, en raison de la matière, sont de son ressort (art. 47 al. 1 de la loi sur la protection des monuments, de la nature et des sites du 4 juin 1976 - LPMNS - L 4 05).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LPMNS). À ce titre, son préavis est important ( ATA/679/2024 du 4 juin 2024 consid. 5.6 et l'arrêt cité). Il n'en demeure pas moins que la délivrance des autorisations de construire demeure de la compétence exclusive du DT, à qui il appartient de statuer en tenant compte de tous les intérêts en présence ( ATA/206/2024 du 13 février 2024 consid. 5.1 ; ATA/1168/2023 du 31 octobre 2023 consid. 4.8 et les arrêts cités). La CMNS donne son préavis notamment sur tout projet de travaux concernant un immeuble situé en zone protégée (art. 5 al. 2 let. g de l'ancien règlement général d'exécution de la loi sur la protection des monuments, de la nature et des sites du 29 novembre 1976 - RPMNS - L 4 05.01, applicable en l'occurrence). La LPMNS a notamment pour but de préserver l’aspect caractéristique du paysage et des localités, les immeubles et les sites dignes d’intérêt, ainsi que les beautés naturelles (art. 1 let. b LPMNS). 6.11 Selon son art. 1, la loi sur la protection générale et l’aménagement des rives B______ du 5 décembre 2003 (LPRVers - L 4 19) a pour but la protection du cours d'eau B______, de ses rives et de leurs abords, en vue notamment de favoriser sa renaturation tout en préservant l'aspect caractéristique du paysage et les sites évocateurs du passé. Le périmètre du territoire à protéger, délimité par le plan N° 4______-A-___-___ dressé le 26 janvier 2001, modifié le 11 juin 2003, est régi par les dispositions de la LPRVers. Il constitue une zone à protéger au sens de l’art. 17 LAT et de l’art. 29 de la LaLAT (art. 2 al. 1 LPVers). Hors des zones à bâtir comprises dans le périmètre du plan de protection visé à l’art. 2 LPVers, aucune construction nouvelle ne peut être érigée. Demeurent notamment réservés l'agrandissement de peu d'importance, l'adaptation, la transformation et la reconstruction de bâtiments et d'installations existants aux conditions fixées par l'art. 24c LAT (art. 3 al. 1 LPVers). Les requêtes en autorisation de construire touchant le périmètre du territoire à protéger, délimité par le plan N° 4______-A-___-___ (rives B______), font l’objet d’un préavis de la commune concernée et de l’office du patrimoine et des sites, ainsi que de l’office cantonal de l’agriculture et de la nature lorsque le projet de construction touche la sauvegarde du cadre végétal (art. 7 al. 1 LPRVers). 6.12 Par bâtiment présentant un intérêt sur le plan du patrimoine, il faut en principe entendre tout bâtiment classé, inscrit à l’inventaire, situé dans une zone protégée ou formant un ensemble protégé de la fin du XIX e siècle ou du début du XX e siècle, qui de ce fait doit être maintenu ; tout bâtiment dont le maintien est imposé par un plan d’affectation du sol, notamment un plan de site ou une autre mesure de protection du patrimoine; à titre exceptionnel, d'autres bâtiments dont le maintien est recommandé par la commission des monuments, de la nature et des sites en raison de leur intérêt architectural ou historique (art. 42C LPMNS). 7. En l'espèce, il n'est pas contesté que les deux maisons d'habitation situées sur la parcelle n° 287 de la commune, sise en zone agricole, ne sont pas nécessaires à une exploitation agricole. Partant, elles ne sont pas conformes à l'affectation de la zone agricole. 7.1 Le recourant sollicite ainsi une autorisation dérogatoire, que le DT a refusé de délivrer, afin de régulariser les travaux de transformation qu'il a entrepris sans droit sur ses deux maisons d'habitation. Cette dérogation est expressément prévue par l’art. 24c LAT et présuppose en premier lieu la réalisation des conditions de cette disposition. Parmi celles-ci figurent l’utilisation du bâtiment « conformément à [sa] destination » (art. 24c al. 1 LAT et 42 al. 4 phr. 1 OAT), le fait que cet usage « ne [soit] plus conforme à l’affectation de la zone » (art. 24c al. 1 LAT) et que le bâtiment existant ait été construit « ou transform[é] légalement » (art. 24c al. 2 LAT). Il ressort de la fiche RAC-VSX-______ (consultée le 23 juillet 2025 à l'adresse https://recensement.app.ge.ch/fr/audit/item/______/) que les maisons d'habitation concernées étaient, à l'origine, une ferme traditionnelle, construite avant 1900. Celle-ci a été remaniée au début du XXe siècle pour en faire une maison d’habitation. Au début des années 1980, elle a été transformée, à la suite de la délivrance d'une autorisation de construire le 22 novembre 1978, en deux maisons d'habitation ; deux lucarnes, un mur de clôture, un garage, une aire à fumier et un mur de soutènement ont également été construits. Les maisons d'habitation ont donc été construites puis transformées légalement, et ce avant l’attribution du bien-fonds à un territoire non constructible au sens du droit fédéral, ledit bien-fonds ayant été classé en zone agricole le 18 septembre 1987. Les maisons d'habitation constituent le domicile du recourant. Les travaux sollicités portent sur la rénovation de la toiture ainsi que sur la transformation de la terrasse. Ces travaux ne modifieront donc pas la destination du bâtiment. Enfin, il ne ressort pas du dossier que le recourant exploiterait une entreprise agricole. L'usage du bâtiment n'est donc plus conforme à l'affectation de la zone. 7.2 Le fait que, dans les limites précitées, les conditions de l’art. 24c LAT susmentionnées soient remplies ne permet pas d’emblée de conclure à l’octroi d’une autorisation de construire dérogatoire. Encore faut-il que l’identité de la construction ou de l’installation et de ses abords soit respectée pour l’essentiel malgré les travaux projetés. Dans son préavis défavorable du 21 août 2013, la CMNS, dont la consultation était obligatoire (art. 5 al. 2 let. g aRPMNS) puisque la parcelle concernée se situe dans le périmètre de protection générale et aménagement des rives B______, a relevé que le bâtiment avait reçu la valeur 3 lors du RAC (RAC VSX ______), soit une valeur d'inscription à l'inventaire, et que les transformations déjà réalisées sur ce bâtiment étaient contraires à la LaLAT. Elle a indiqué que l'atteinte patrimoniale au bâtiment était importante. Le DT a suivi l'avis de la CMNS et a refusé de délivrer l'autorisation sollicitée. Le bâtiment concerné ne fait pas l'objet d'une mesure d'inscription à l'inventaire mais a ensuite été évalué comme « intéressant » dans le RAC-2016, qui n'avait pas encore été établi au moment du dépôt de la demande d'autorisation sollicitée. Celui‑ci mentionne que malgré les transformations qu’elle a subies, dans ce cadre privilégié au bord B______, en amont des forges du D______, cette ancienne ferme joue un rôle prépondérant dans la valeur d’ensemble que le hameau du Pont conserve encore aujourd’hui. Ainsi que les autres bâtiments qui constituent ce site paysager privilégié, elle témoigne d’une phase importante de l’architecture rurale et industrielle encore conservée dans le canton (https://recensement.app.ge.ch/ fr/audit/item/1470/). Selon le Service de l'inventaire des monuments d’art et d’histoire de l'office du patrimoine et des sites, obtient la valeur « intéressant » tout bâtiment présentant notamment au moins l’un des critères suivants : degré satisfaisant de conservation de la substance architecturale ; grande qualité architecturale, structurelle ou décorative, de niveau local ou régional ; exemplarité ou originalité de son architecture (caractère constructif, stylistique, typologique) ; appartenant à un ensemble ou à un site d'intérêt, de niveau local ou régional (https://ge.ch/geodata/SIPATRIMOINE/SI-EVI-OPS/EVI/edition/fiches/RAC-Documentation/RAC-presentation-generale.pdf). Au vu de ce qui précède, il y a lieu de retenir que la valeur patrimoniale du bâtiment est importante, ce qui était déjà le cas en 2013, le bâtiment ayant reçu la valeur 3 lors du RAC (RAC VSX ______), ce qui n'est pas contesté. Le RAC-2016, bien qu'il ne fût pas encore en vigueur en 2013, confirme d'ailleurs cette appréciation. Le préavis de la CMNS du 21 août 2013 conserve donc toute sa pertinence. 7.3 Dès lors, dans l'examen du respect, pour l'essentiel, de l'identité de la construction, la valeur patrimoniale du bâtiment concerné doit être prise en compte et un poids important doit lui être accordé. La jurisprudence exige, dans l'examen de cette question, que l'aspect extérieur du bâtiment reste largement identique et que les transformations soient d’importance réduite par rapport à l’état existant de la construction. Dans son préavis du 11 juillet 2023, qui peut être pris en compte puisque les éléments suivants, mentionnés dans ledit préavis, ne concernent pas le plan de site, la CMNS a estimé que la présence des châssis de toiture (quatre sur le pan nord), n'était pas adaptée aux qualités du bâtiment et que l'emprise importante des nouvelles toitures ainsi que l'imbrication de leur volumétrie portaient atteinte au bâtiment principal. Il ressort des photographies produites par le recourant que la suppression de la lucarne et son remplacement par cinq châssis de toiture ainsi que l'aménagement de deux avant-toits le long de la façade ouest constituent des changements importants dans l'architecture du toit. Par ailleurs, l'ajout d'une toiture en terrasse a une incidence sur l'aspect de la terrasse et sur l'ensemble du bâtiment. Par conséquent, il n'y a pas lieu de s'écarter de l'appréciation de la CMNS, autorité composée de spécialistes capables d’émettre un jugement dépourvu de subjectivisme et de considérations étrangères aux buts de protection fixés par la loi. Au vu de ce qui précède, on ne peut retenir que l’identité de la construction ou de l’installation est respectée pour l’essentiel avec les travaux sollicités, qui ont déjà été exécutés. La transformation ne saurait ainsi être considérée comme partielle. Le fait que le bâtiment, dans son état antérieur, n'aurait pas disposé de qualités anciennes, que les éléments que le recourant a ajoutés n'auraient pas été d'origine et que les toitures en terrasse initiales aurait été « massivement disproportionnées », comme le soutient l'intéressé, n'y change en toute hypothèse rien. En effet, selon la jurisprudence du Tribunal fédéral, il est indifférent que la construction d'origine n'ait pas de qualité particulière et que le bâtiment réalisé soit esthétiquement préférable, puisque les art. 24c LAT et 42 OAT n'ont pas pour objet d'autoriser n'importe quelle amélioration esthétique des bâtiments, mais visent avant tout le maintien du bâti existant en zone agricole. Pour le surplus, à supposer que tel soit le cas et que cet élément doive être pris en considération, le recourant ne démontre pas que la rénovation des ouvertures en toitures aurait servi des objectifs de sécurité, étant précisé que sa seule audition ne suffirait pas à le prouver et qu'un transport sur place apparaîtrait inutile, les travaux ayant déjà été exécutés. En définitive, la condition de l'art. 24c al. 2 LAT faisant défaut, le recourant ne peut pas bénéficier de l'autorisation dérogatoire qu'il a requise. Le DT n'a donc pas abusé de son pouvoir d'appréciation en suivant le préavis de la CMNS et en refusant de délivrer l'autorisation de construire sollicitée. 7.4 Au demeurant, même à considérer que l'identité de la construction serait respectée pour l'essentiel, encore faudrait-il que les conditions de l'art. 24c al. 3 LAT soient respectées. Or, tel n'est pas le cas. En effet, les modifications apportées à l’aspect extérieur du bâtiment ne sont pas nécessaires à un usage d’habitation répondant aux normes usuelles ou à un assainissement énergétique ni ne visent une meilleure intégration dans le paysage. Le recourant ne l'a en effet pas prétendu dans ses échanges avec le DT après qu'il a déposé l'autorisation de construire sollicitée. Dans cette mesure, le fait que d'autres maisons sises dans l'environnement construit du plan de site disposent également de chassis n'est pas pertinent, puisque rien ne permet de retenir que la volonté du recourant, en exécutant les travaux de transformation, était de faire en sorte que le bâtiment s'intègre mieux dans le paysage au sens de l'art. 24c al. 3 LAT. Dès lors, dans de telles circonstances, retenir que les modifications apportées visaient en réalité une meilleure intégration dans le paysage, au seul motif que d'autres maisons sises dans l'environnement construit du plan de site disposeraient également de chassis, irait à l'encontre du but poursuivi par l'art. 24c LAT. Pour ces raisons d'ailleurs, il n'y a pas lieu de prendre en compte le rapport d'expertise du 7 mars 2025 produit par le recourant, qui conclut que l'intégration des ouvertures dans la toiture du bâtiment semble être adéquate et respectueuse des lieux et de leur harmonie. 7.5 Au vu de ce qui précède, il n'est pas nécessaire d'examiner le grief lié à la violation de l'art. 15 LCI ni d'analyser la conformité du projet aux art. 11 de la loi sur les forêts du 20 mai 1999 (LForêts - M 5 10) et 15 de la loi sur les eaux du 5 juillet 1961 (LEaux-GE - L 2 05). Les considérants qui précèdent conduisent au rejet du recours. 8. Vu l'issue du litige, un émolument de CHF 1'500.- sera mis à la charge du recourant (art. 87 al. 2 LPA) et aucune indemnité de procédure ne sera allouée (art. 87 al. 2 LPA). * * * * *</w:t>
      </w:r>
    </w:p>
    <w:p>
      <w:r>
        <w:rPr>
          <w:b/>
        </w:rPr>
        <w:t>E. 9</w:t>
      </w:r>
    </w:p>
    <w:p>
      <w:r>
        <w:t>février 2021consid. 7b ; ATA/1087/2020 du 3 novembre 2020 consid. 4d ; ATA/231/2014 du 8 avril 2014 consid. 3b et 3c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