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A/1283/2024 vom 17. Dezember 2024</w:t>
      </w:r>
    </w:p>
    <w:p>
      <w:r>
        <w:t>GE Cour de justice, 2024-12-17, FR</w:t>
      </w:r>
    </w:p>
    <w:p>
      <w:r>
        <w:rPr>
          <w:b/>
        </w:rPr>
        <w:t xml:space="preserve">Quelle: </w:t>
      </w:r>
      <w:r>
        <w:t>https://mcp.opencaselaw.ch/entscheid/ge_gerichte_A_1283_2024</w:t>
      </w:r>
    </w:p>
    <w:p>
      <w:r>
        <w:t>FR: GE_GERICHTE A/1283/2024 du 17 décembre 2024</w:t>
      </w:r>
    </w:p>
    <w:p>
      <w:r>
        <w:t>IT: GE_GERICHTE A/1283/2024 del 17 dicembre 2024</w:t>
      </w:r>
    </w:p>
    <w:p>
      <w:pPr>
        <w:pStyle w:val="Heading2"/>
      </w:pPr>
      <w:r>
        <w:t>Erwägungen</w:t>
      </w:r>
    </w:p>
    <w:p>
      <w:r>
        <w:rPr>
          <w:b/>
        </w:rPr>
        <w:t>E. 2</w:t>
      </w:r>
    </w:p>
    <w:p>
      <w:r>
        <w:t>Il ressort des écritures du recourant qu’il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142 III 48 consid. 4.1.1). Ce droit n’empêche pas le juge de renoncer à l’administration de certaines preuves et de procéder à leur appréciation anticipée s’il acquiert la certitude qu’elles ne l’amèneront pas à modifier son opinion ou si le fait à établir résulte déjà des constatations ressortant du dossier (ATF 145 I 167 consid. 4.1). En outre, il n’implique pas le droit d’être entendu oralement, ni celui d’obtenir l’audition de témoins (ATF 140 I 285 consid. 6.3.1).</w:t>
      </w:r>
    </w:p>
    <w:p>
      <w:r>
        <w:rPr>
          <w:b/>
        </w:rPr>
        <w:t>E. 2.2</w:t>
      </w:r>
    </w:p>
    <w:p>
      <w:r>
        <w:t>En l’espèce, le recourant a valablement exercé son droit d’être entendu avant le prononcé de la décision querellée et a pu également exposer son point de vue et ses arguments, y compris produire les pièces qu’il jugeait utile, dans son recours et sa réplique. En particulier, il n’explique pas quels éléments utiles autres que ceux déjà exposés permettraient d’apporter à la solution du litige. Il ne sera dès lors pas donné suite à sa demande d’audition.</w:t>
      </w:r>
    </w:p>
    <w:p>
      <w:r>
        <w:rPr>
          <w:b/>
        </w:rPr>
        <w:t>E. 3</w:t>
      </w:r>
    </w:p>
    <w:p>
      <w:r>
        <w:t>Le litige porte sur le bien-fondé du refus de délivrer au recourant une AUADP en application du régime transitoire prévu par l’art. 46 al. 13 LTVTC.</w:t>
      </w:r>
    </w:p>
    <w:p>
      <w:r>
        <w:rPr>
          <w:b/>
        </w:rPr>
        <w:t>E. 3.1</w:t>
      </w:r>
    </w:p>
    <w:p>
      <w:r>
        <w:t>La LTVTC, en vigueur depuis le 1 er novembre 2022, résulte du projet de loi (ci‑après : PL)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 qui devenait contractuellement son employé –,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de ce dernier,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3.2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 l’art. 5 du présent règlement est applicable pour le surplus (art. 57 al. 12 du règlement d’exécution de la LTVTC du 21 juin 2017 - RTVTC - H 1 31 01). L’art. 57 al. 11 RTVTC prévoit que le service peut, pendant le délai transitoire des douze mois visé à l’art. 46 al. 8 LTVTC, délivrer jusqu’à 200 AUADP supplémentaires aux utilisatrices effectifs au sens de l’art. 46 al. 13 LTVTC. Dans un arrêt du 24 mars 2023 ( ACST/15/2023 ), la chambre constitutionnelle de la Cour de justice (ci-après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En outre,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et ACST/27/2022 du 22 décembre 2022).</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ATA/1327/2024 du 12 novembre 2024 consid. 3.3 ; ATA/886/2023 du 22 août 2023 consid. 6.6 ; ATA/779/2023 du 18 juillet 2023 consid. 5.6.2). Dans un arrêt du 4 juin 2024 ( 2C_690/2023 ),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couraient pas le risque de perdre leur outil de travail en raison de la restitution par leur bailleur de l’AUADP ( ATA/1115/2024 du 24 septembre 2024 consid. 3.3 ; ATA/1051/2024 du 3 septembre 2024 consid. 3.6 s ; ATA/1013/2024 du 27 août 2024 consid. 2.3 ; ATA/918/2024 du 6 août 2024 consid. 2.10 ; ATA/878/2024 du 23 juillet 2024 consid. 3.9 ; ATA/879/2024 du 23 juillet 2024 consid. 2.9 ; ATA/821/2024 du 9 juillet 2024 consid. 3.9). Ces considérations ont conduit la chambre administrative à retenir qu’un chauffeur de taxi qui, sans être locataire à ce moment d’une AUADP, avait été absent de Suisse de janvier à mars 2022 n’était pas, durant cette période, l’utilisateur effectif des plaques louées au sens de l’art. 46 al. 13 LTVTC ; peu importaient les motifs pour lesquels il s’était rendu à l’étranger ( ATA/687/2023 du 27 juin 2023 consid. 3.9). Elle a abouti à la même conclusion dans le cas d’un chauffeur de taxi dont le contrat de location d’une AUADP avait pris fin depuis plusieurs mois en raison d’un accident et qui se trouvait toujours en incapacité de travail à la date d’adoption de la LTVTC ( ATA/814/2024 du 9 juillet 2024 consid. 2.6).</w:t>
      </w:r>
    </w:p>
    <w:p>
      <w:r>
        <w:rPr>
          <w:b/>
        </w:rPr>
        <w:t>E. 3.4</w:t>
      </w:r>
    </w:p>
    <w:p>
      <w:r>
        <w:t>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Il n’y a pas de rétroactivité proprement dite lorsque le législateur entend réglementer un état de chose qui, bien qu’ayant pris naissance dans le passé, se prolonge au moment de l’entrée en vigueur du nouveau droit ; cette rétroactivité (improprement dite) est en principe admise, sous réserve du respect des droits acquis (ATF 148 V 162 consid. 3.2.1 ; 146 V 364 consid. 7.1).</w:t>
      </w:r>
    </w:p>
    <w:p>
      <w:r>
        <w:rPr>
          <w:b/>
        </w:rPr>
        <w:t>E. 3.5</w:t>
      </w:r>
    </w:p>
    <w:p>
      <w:r>
        <w:t>En l’espèce, la requête formée par le recourant auprès de l’autorité intimée en vue de l’obtention d’une AUADP, qui constitue le fait juridiquement déterminant, date du 12 octobre 2023, soit après l’entrée en vigueur, le 1 er novembre 2022, de la LTVTC. Ladite requête doit donc s’examiner au regard de la nouvelle réglementation, conformément au principe général du droit intemporel rappelé par ci-dessus. La cause ne soulève ainsi pas de question sous l’angle de rétroactivité, y compris improprement dite, des lois. Au demeurant, étant donné qu’une AUADP ne confère pas de droit acquis, une éventuelle rétroactivité improprement dite de la loi serait en tout état de cause admissible (arrêt du Tribunal fédéral 2C_690/2023 précité consid. 5.2). Le recourant admet qu’il n’a pas été l’utilisateur effectif d’une AUADP le 28 janvier 2022, date de l’adoption de la LTVTC. Il fait toutefois valoir qu’en raison d’une infection au COVID-19, il était dans l’incapacité d’exercer sa profession, raison pour laquelle il n’avait pu louer une AUADP qu’à partir d’août 2022. Cette situation « exceptionnelle » constituerait un cas de rigueur qui justifierait une dérogation au régime transitoire, en ce sens que la condition d’avoir été l’utilisateur effectif au moment de l’adoption de la loi ne devrait pas s’appliquer à son cas, le cas échéant que seule la date d’entrée en vigueur de la LTVTC serait déterminante. La chambre administrative a toutefois déjà retenu, dans sa jurisprudence, que l’art. 46 al. 13 LTVTC ne prévoyait pas la possibilité d’invoquer des motifs d’empêchement à la location d’une AUADP au moment de l’adoption de la loi, le 28 janvier 2022. Si le législateur avait voulu déroger au régime transitoire, plus particulièrement à l’exigence d’avoir été l’utilisateur effectif d’une AUADP au moment déterminant, il l’aurait clairement indiqué. Ainsi que l’a relevé l’autorité intimée,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n’apparaît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AUADP avant l’entrée en vigueur de la loi, dans le seul but de pouvoir bénéficier de l’application de l’art. 46 al. 13 LTVTC et de court-circuiter l’ordre prévu dans la liste d’attente de ces autorisations. Or, dans le cas présent, le recourant a loué une AUADP le 31 août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 En outre, conformément à ce qui précède, il ne peut pas invoquer son « COVID long » comme étant un cas de rigueur ( ATA/814/2024 précité consid. 2.6). Il s’ensuit que, faute d’avoir été titulaire d’une AUADP au moment déterminant du 28 janvier 2022 – date au demeurant confirmée par le Tribunal fédéral (arrêt du Tribunal fédéral 2C_690/2023 précité consid. 6) –, le recourant ne peut bénéficier du régime transitoire instauré par l’art. 46 al. 13 LTVTC, conformément à la jurisprudence de la chambre de céans, dont il n’y a pas lieu de s’écarter ( ATA/1327/2024 précité consid. 3.6 et les références citées).</w:t>
      </w:r>
    </w:p>
    <w:p>
      <w:r>
        <w:rPr>
          <w:b/>
        </w:rPr>
        <w:t>E. 4</w:t>
      </w:r>
    </w:p>
    <w:p>
      <w:r>
        <w:t>Invoquant les art. 27 et 36 al. 3 Cst., le recourant se plaint d’une violation du principe de la proportionnalité en lien avec la liberté économique. Selon lui, il n’existerait aucun intérêt public prépondérant à le priver du bénéfice d’une AUADP indispensable pour l’exercice de sa profession, sont intérêt privé à pouvoir continuer d’exercer celle-ci devant primer</w:t>
      </w:r>
    </w:p>
    <w:p>
      <w:r>
        <w:rPr>
          <w:b/>
        </w:rPr>
        <w:t>E. 4.1</w:t>
      </w:r>
    </w:p>
    <w:p>
      <w:r>
        <w:t>Selon l’art. 27 Cst., la liberté économique est garantie (al. 1) ; elle comprend notamment le libre choix de la profession, le libre accès à une activité économique lucrative privée et son libre exercice (al. 2). L’activité de chauffeur de taxi indépendant ou salarié est protégée par l’art. 27 Cst., même si l’exercice de cette activité implique un usage accru du domaine public (ATF 150 I 120 consid. 4.1.1). De jurisprudence constante, la collectivité publique est toutefois habilitée à réglementer un tel usage accru du domaine public par les taxis (arrêt 2C_394/2020 du 20 novembre 2020 consid. 7.2 et les arrêts cités). Les restrictions à l’exercice de la profession de chauffeur de taxi qui portent ainsi atteinte à la liberté économique doivent reposer sur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150 I 120 consid. 4.1.1 ; 149 I 191 consid. 6 et 7.2).</w:t>
      </w:r>
    </w:p>
    <w:p>
      <w:r>
        <w:rPr>
          <w:b/>
        </w:rPr>
        <w:t>E. 4.2</w:t>
      </w:r>
    </w:p>
    <w:p>
      <w:r>
        <w:t>En l’espèce, l’art. 46 al. 13 LTVTC ne restreint pas la liberté économique du recourant, puisqu’une telle restriction résulte uniquement de l’art. 13 al. 3 et 9 LTVTC, qui consacre le caractère strictement personnel et intransmissible des autorisations d’usage accru du domaine public, ce qui revient à en interdire la location à des tiers, disposition qu’il ne critique pas. Le fait que l’art. 46 al. 13 LTVTC prévoie la possibilité – et non pas le droit, contrairement à ce que soutient le recourant – de se voir attribuer en priorité une autorisation personnelle pour les chauffeurs qui en louaient une à leur titulaire au moment de l’adoption de la loi, condition qu’il ne remplit pas, ne signifie pas que cette disposition consacre, comme il le prétend, une violation de sa liberté économique. En effet, comme mentionné ci-dessus, la jurisprudence admet que le droit cantonal, en l’occurrence la LTVTC, puisse limiter l’utilisation du domaine public par les chauffeurs de taxi en soumettant celle-ci à autorisation. Or, le recourant reste libre d’obtenir une AUADP aux conditions prévues par la loi, en déposant une demande d’inscription sur une liste d’attente à cet effet. C’est également en vain que l’intéressé se plaint d’une atteinte à son « droit acquis » à une AUADP puisque, comme déjà évoqué, il n’existe pas de droit acquis au maintien d’une telle autorisation. Enfin, bien qu’il mentionne dans son recours une violation du principe d’égalité de traitement entre concurrents, le recourant n’expose pas concrètement en quoi ce principe serait violé dans son cas, se limitant à évoquer de manière non étayée d’autres situations, notamment des chauffeurs de taxi qui disposeraient de plusieurs AUADP. Il n’indique toutefois pas de cas similaire au sien, à savoir qu’une AUADP aurait été octroyée par l’autorité intimée à un chauffeur postérieurement à l’adoption de la LTVTC, en application des dispositions transitoires de cette loi. Il convient en outre de rappeler qu’il n’existe pas de droit au maintien d’une législation en vigueur jusqu’alors et qu’un régime transitoire doit seulement permettre aux administrés de s’adapter à la nouvelle réglementation, et non de profiter le plus longtemps possible de l’ancien régime, plus favorable (ATF 149 I 291 consid. 5.4 ; arrêt du Tribunal fédéral 2C/690/2023 précité consid. 7.3). Entièrement mal fondé, le recours sera par conséquent rejeté.</w:t>
      </w:r>
    </w:p>
    <w:p>
      <w:r>
        <w:rPr>
          <w:b/>
        </w:rPr>
        <w:t>E. 5</w:t>
      </w:r>
    </w:p>
    <w:p>
      <w:r>
        <w:t>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