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A/1281/2023 vom 25. August 2023</w:t>
      </w:r>
    </w:p>
    <w:p>
      <w:r>
        <w:t>GE Cour de justice, 2023-08-25, FR</w:t>
      </w:r>
    </w:p>
    <w:p>
      <w:r>
        <w:rPr>
          <w:b/>
        </w:rPr>
        <w:t xml:space="preserve">Quelle: </w:t>
      </w:r>
      <w:r>
        <w:t>https://mcp.opencaselaw.ch/entscheid/ge_gerichte_A_1281_2023</w:t>
      </w:r>
    </w:p>
    <w:p>
      <w:r>
        <w:t>FR: GE_GERICHTE A/1281/2023 du 25 août 2023</w:t>
      </w:r>
    </w:p>
    <w:p>
      <w:r>
        <w:t>IT: GE_GERICHTE A/1281/2023 del 25 agosto 2023</w:t>
      </w:r>
    </w:p>
    <w:p>
      <w:pPr>
        <w:pStyle w:val="Heading2"/>
      </w:pPr>
      <w:r>
        <w:t>Regeste</w:t>
      </w:r>
    </w:p>
    <w:p>
      <w:r>
        <w:t>PROSTITUTION;MAISON DE PROSTITUTION;SANCTION ADMINISTRATIVE;AMENDE;INSOLVABILITÉ;OBLIGATION D'ANNONCER(EN GÉNÉRAL);PROPORTIONNALITÉ | Recours d'un responsable de salons de massages contre une décision ordonnant la fermeture définitive des salons, l'interdisant d'exploiter tout autre salon pour une durée de dix ans et lui infligeant une amende de CHF 1'000.-. Le recourant ne remplissait plus la condition personnelle de solvabilité depuis cinq ans, ni celle d'être au bénéfice de préavis positifs du département du territoire. Il a également violé son obligation de communiquer son insolvabilité et la reprise des baux par une autre personne que lui-même, ainsi que de s'assurer que les travailleuses du sexe exerçant dans ses salons soient au bénéfice d'une autorisation de travail valable à plusieurs reprises. Les sanctions administratives de même que l'amende sont proportionnées dans la mesure où les fautes commises par le recourant sont graves. Recours rejeté. | Cst.27; Cst.36; LPA.61.al1; LProst.1; LProst.2; LProst.8; LProst.9.al1; LProst.9.al4; LProst.10.letc; LProst.10.letd; LProst.11; LProst.12.letb; LProst.12.lete; LProst.14; LProst.25.al1</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Le recourant sollicite préalablement la suspension de la procédure jusqu'à droit connu sur la requête formulée au DT concernant le changement d'affectation de l'immeuble. ![endif]&gt;![if&gt;</w:t>
      </w:r>
    </w:p>
    <w:p>
      <w:r>
        <w:rPr>
          <w:b/>
        </w:rPr>
        <w:t>E. 2.1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clair ne prévoit pas la suspension systématique de la procédure chaque fois qu'une autorité civile, pénale ou administrative est parallèlement saisie ( ATA/444/2023 du 26 avril 2023 consid. 3.1).![endif]&gt;![if&gt;</w:t>
      </w:r>
    </w:p>
    <w:p>
      <w:r>
        <w:rPr>
          <w:b/>
        </w:rPr>
        <w:t>E. 2.2</w:t>
      </w:r>
    </w:p>
    <w:p>
      <w:r>
        <w:t>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 ATA/650/2023 du 20 juin 2023 consid. 2.2 ; ATA/630/2008 du 16 décembre 2008 consid. 5). Une procédure ne saurait dès lors être suspendue sans que l’autorité saisie ait examiné les moyens de droit qui justifieraient une solution du litige sans attendre la fin d’une autre procédure. Il serait en effet contraire à la plus élémentaire économie de procédure et à l’interdiction du déni de justice formel fondée sur l’art. 29 al. 1 de la Constitution fédérale de la Confédération suisse du 18 avril 1999 (Cst. - RS 101) d’attendre la décision d’une autre autorité, même si celle-ci est susceptible de fournir une solution au litige, si ledit litige peut être tranché sans délai sur la base d’autres motifs ( ATA/650/2023 précité consid. 2.2 ; ATA/812/2021 du 10 août 2021 consid. 2a ; ATA/1493/2019 du 8 octobre 2019 consid. 3b).![endif]&gt;![if&gt;</w:t>
      </w:r>
    </w:p>
    <w:p>
      <w:r>
        <w:rPr>
          <w:b/>
        </w:rPr>
        <w:t>E. 2.3</w:t>
      </w:r>
    </w:p>
    <w:p>
      <w:r>
        <w:t>En l'espèce, les propriétaires de l'immeuble, dans lequel le recourant exerce son activité d'exploitant de salons, ont envoyé un courrier au DT, le 30 mai 2023, dans le but de régulariser la situation dudit immeuble en requérant un changement d'affectation. L'issue des démarches devant le DT n'est pas déterminante pour l'issue du présent litige au vu du dossier, qui est en état d'être tranché sur la base d'autres motifs, comme il sera vu ci-après.![endif]&gt;![if&gt; La demande de suspension sera donc rejetée.</w:t>
      </w:r>
    </w:p>
    <w:p>
      <w:r>
        <w:rPr>
          <w:b/>
        </w:rPr>
        <w:t>E. 3</w:t>
      </w:r>
    </w:p>
    <w:p>
      <w:r>
        <w:t>Le recourant sollicite la mise en œuvre de plusieurs mesures d'instruction, soit l'apport du dossier détenu par la BTPI au sujet de l'affectation des locaux qu'il exploitait ainsi que son audition, celles d'un représentant du BTPI et de I______. ![endif]&gt;![if&gt;</w:t>
      </w:r>
    </w:p>
    <w:p>
      <w:r>
        <w:rPr>
          <w:b/>
        </w:rPr>
        <w:t>E. 3.1</w:t>
      </w:r>
    </w:p>
    <w:p>
      <w:r>
        <w:t>Tel qu'il est garanti par l'art. 29 al. 2 Cst.,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3).![endif]&gt;![if&gt; En outre, il n'implique pas le droit d'être entendu oralement, ni celui d'obtenir l'audition de témoins (ATF 134 I 140 consid. 5.3 ; 130 II 425 consid. 2.1).</w:t>
      </w:r>
    </w:p>
    <w:p>
      <w:r>
        <w:rPr>
          <w:b/>
        </w:rPr>
        <w:t>E. 3.2</w:t>
      </w:r>
    </w:p>
    <w:p>
      <w:r>
        <w:t>Lorsque le complexe de faits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ATA/712/2021 du 6 juillet 2021 consid. 7a ; ATA/1060/2020 du 27 octobre 2020 consid. 7f et les références citées). Il convient d’éviter autant que possible que la sécurité du droit soit mise en péril par des jugements opposés, fondés sur les mêmes faits (ATF 137 I 363 consid. 2.3.2).![endif]&gt;![if&gt;</w:t>
      </w:r>
    </w:p>
    <w:p>
      <w:r>
        <w:rPr>
          <w:b/>
        </w:rPr>
        <w:t>E. 3.3</w:t>
      </w:r>
    </w:p>
    <w:p>
      <w:r>
        <w:t>En l'espèce, le recourant a eu l'occasion de s'exprimer devant le DIN et la chambre de céans et n'expose pas quels éléments supplémentaires son audition apporterait à l'instruction de la cause qu'il n'aurait pas pu développer par écrit. S'agissant de l'apport du dossier de la BTPI et l'audition d'un de ses collaborateurs, dans le but de confirmer l'exploitation commerciale des locaux, ils ne sont pas pertinents pour la résolution du litige, seuls étant déterminants les préavis du DT, défavorables in casu . De surcroît, l'exploitation depuis une vingtaine d'années, pour autant qu'elle soit contestée par l'autorité intimée, est sans pertinence au vu des nouvelles exigences légales. L'audition de I______, pour vraisemblablement confirmer qu'elle ne travaillait pas au moment des faits qui ont donné lieu au rapport du 17 janvier 2022 – aucun motif n'ayant été invoqué par le recourant pour motiver ou expliquer la nécessité de cette audition – est sans pertinence à la résolution du présent litige. En effet, ce rapport de police, ainsi que ceux du 19 juillet 2021 et 21 septembre 2021, ont donné lieu à des ordonnances pénales entrées en force, tel que cela ressort du courriel envoyé au DIN par le Service des contraventions le 10 mai 2023. Dès lors, les faits ont déjà fait l'objet d'une décision définitive et exécutoire liant les autorités et juridictions administratives. Partant, la chambre de céans dispose d'un dossier complet, comprenant notamment les écritures des parties et toutes les pièces produites à l'appui. ![endif]&gt;![if&gt; Dans ces circonstances, et comme cela sera également vu ci-dessous, les demandes d'actes d'instruction n'apparaissent pas nécessaires pour trancher le litige en toute connaissance de cause et seront par conséquent, rejetées.</w:t>
      </w:r>
    </w:p>
    <w:p>
      <w:r>
        <w:rPr>
          <w:b/>
        </w:rPr>
        <w:t>E. 4</w:t>
      </w:r>
    </w:p>
    <w:p>
      <w:r>
        <w:t>Le litige porte sur la conformité au droit de la décision du DIN ordonnant la fermeture définitive des salons de massages « B______ », l'interdiction pour le recourant d'exploiter tout autre salon pendant une durée de dix ans et le prononcé d'une amende administrative de CHF 1'000.-. ![endif]&gt;![if&gt;</w:t>
      </w:r>
    </w:p>
    <w:p>
      <w:r>
        <w:rPr>
          <w:b/>
        </w:rPr>
        <w:t>E. 4.1</w:t>
      </w:r>
    </w:p>
    <w:p>
      <w:r>
        <w:t>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(al. 2).![endif]&gt;![if&gt;</w:t>
      </w:r>
    </w:p>
    <w:p>
      <w:r>
        <w:rPr>
          <w:b/>
        </w:rPr>
        <w:t>E. 4.2</w:t>
      </w:r>
    </w:p>
    <w:p>
      <w:r>
        <w:t>La LProst a pour principal objectif de permettre aux personnes qui se prostituent, c'est-à-dire se livrent à des actes sexuels ou d'ordre sexuel avec un nombre déterminé ou indéterminé de clients, moyennant rémunération (art. 2 al. 1 LProst), d'exercer leur activité dans des conditions aussi dignes que possible (art. 1 let. a LProst).![endif]&gt;![if&gt; Selon la jurisprudence, le but poursuivi par la LProst ne se confine pas à la prévention d'infractions pénales. Elle tend aussi à favoriser l'exercice conforme au droit de l'activité de prostitution dans son ensemble, ainsi qu'une gestion correcte et transparente des établissements publics actifs dans ce domaine à risque. Elle vise également le but d’intérêt public légitime de protection des personnes exerçant la prostitution contre l’exploitation et l’usure ( ATA/443/2023 du 26 avril 2023 consid. 4.3 ; ATA/1373/2017 du 10 octobre 2017 et les arrêts cités).</w:t>
      </w:r>
    </w:p>
    <w:p>
      <w:r>
        <w:rPr>
          <w:b/>
        </w:rPr>
        <w:t>E. 4.3</w:t>
      </w:r>
    </w:p>
    <w:p>
      <w:r>
        <w:t>Selon l'art. 10 let. c LProst, la personne responsable d'un salon doit, au nombre des conditions personnelles à remplir, offrir, par ses antécédents et son comportement, toute garantie d'honorabilité et de solvabilité concernant la sphère d'activité envisagée. ![endif]&gt;![if&gt; L’insolvabilité est une notion de droit fédéral. Le débiteur est insolvable lorsqu’il ne dispose pas de moyens liquides suffisants pour acquitter ses dettes exigibles. Cet état ne doit toutefois pas être passager (ATF 137 II 353 consid. 5.2.1 ; arrêt du Tribunal fédéral 2C_166/2012 du 10 mai 2012 consid. 6.1.1). Il y a insolvabilité notamment en cas de faillite, concordat ou saisie infructueuse ( ATA/486/2014 du 24 juin 2014 consid. 6d et les références citées).</w:t>
      </w:r>
    </w:p>
    <w:p>
      <w:r>
        <w:rPr>
          <w:b/>
        </w:rPr>
        <w:t>E. 4.4</w:t>
      </w:r>
    </w:p>
    <w:p>
      <w:r>
        <w:t>L'art. 11 LProst prévoit que la personne responsable d'un salon est tenue de communiquer immédiatement aux autorités compétentes tout changement des personnes exerçant la prostitution et toute modification des conditions personnelles intervenues depuis l'annonce initiale. ![endif]&gt;![if&gt;</w:t>
      </w:r>
    </w:p>
    <w:p>
      <w:r>
        <w:rPr>
          <w:b/>
        </w:rPr>
        <w:t>E. 4.5</w:t>
      </w:r>
    </w:p>
    <w:p>
      <w:r>
        <w:t>Selon l'art. 12 LProst, la personne responsable d'un salon a notamment pour obligations de s'assurer que les personnes exerçant la prostitution dans le salon ne contreviennent pas à la législation, notamment celle relative au séjour et au travail des étrangers (let. b) ; d'autoriser l'accès des collaborateurs des services chargés de la santé publique afin de leur permettre de procéder aux contrôles et activités de prévention relevant de leur compétence (let. e). À teneur de l'art. 4 al. 1 let. a et 11 al. 2 du règlement d'exécution de la loi sur la prostitution du 14 avril 2010 (RProst - I 2 49.01), le département chargé de la santé, soit pour lui la direction générale de la santé ainsi que la médecin cantonale ou le médecin cantonal est compétent pour procéder à des contrôles dans les salons.![endif]&gt;![if&gt;</w:t>
      </w:r>
    </w:p>
    <w:p>
      <w:r>
        <w:rPr>
          <w:b/>
        </w:rPr>
        <w:t>E. 4.6</w:t>
      </w:r>
    </w:p>
    <w:p>
      <w:r>
        <w:t>En l'espèce, en date du 16 août 2022, le recourant faisait l'objet d'actes de défaut de biens non éteints d'un montant total de CHF 165'105.15, le premier datant du 19 mars 2018. En date du 3 mai 2023, soit cinq ans après le premier acte de défaut de biens, il faisait encore l'objet d'actes de défaut de biens pour un montant de CHF 17'311.16. Les 4 et 8 mai 2023, il s'est acquitté d'un montant de CHF 13'068.80, laissant subsister un montant de CHF 4'242.36 encore non soldé. Ces faits ne sont pas contestés par le recourant, qui a uniquement indiqué ignorer son obligation de prévenir l'autorité compétente tout en affirmant que son insolvabilité n'avait aucun lien avec son activité d'exploitant. Or, comme cela a été précédemment relevé par la jurisprudence de la chambre de céans, la solvabilité ne doit pas être envisagée de manière nuancée, le fait que les dettes du recourant n’aient aucun rapport avec l’exploitation du salon n’est pas pertinent ( ATA/1373/2017 du 10 octobre 2017 consid. 4c). ![endif]&gt;![if&gt; Par ailleurs, ses allégations selon lesquelles il s'agirait d'une « question de principe » que ces dernières poursuites restent impayées et non en raison d'un manque de liquidité ne peuvent être suivies. En effet, ces sommes restent dues, s'agissant d'actes de défaut de biens à la suite d'une saisie, tant que les créanciers n'auront pas été payés. En outre, hormis le paiement de 150'000.- de E______ au recourant, qui lui a permis d'assainir sa situation financière ces derniers mois, la présence de liquidités permettant de payer les poursuites restantes n'a pas été étayée. Dès lors, force est de constater que, malgré ses affirmations, son insolvabilité est tout sauf « passagère » et sa situation financière n'a toujours pas été assainie. Dans ces circonstances, l'intimé était donc fondé à retenir l'absence de garantie de solvabilité du recourant, ainsi que la violation de l'art. 11 LProst, ce dernier ayant omis de communiquer son insolvabilité depuis 2018. Il en va de même de la violation de l'art. 11 LProst concernant son obligation de communiquer la reprise des baux par E______, le recourant exerçant son activité d'exploitant en tant que locataire des appartements, alors qu'il ne l'est plus pour six des treize appartements, soit presque la moitié, faisant partie de ses salons.</w:t>
      </w:r>
    </w:p>
    <w:p>
      <w:r>
        <w:rPr>
          <w:b/>
        </w:rPr>
        <w:t>E. 4.7</w:t>
      </w:r>
    </w:p>
    <w:p>
      <w:r>
        <w:t>Selon les rapports des 19 juillet, 21 septembre 2021 et 17 janvier 2022, la BTPI a constaté que quatre travailleuses du sexe présentes dans les locaux n'étaient pas au bénéfice de titre de travail valable. ![endif]&gt;![if&gt; Dans ses explications variées et contradictoires, le recourant affirme, d'une part, se rendre six jours sur sept de 15 heures à 19 heures aux salons, établir les quittances et tenir le registre de police, d'autre part, que ses services relèvent uniquement de la mise à disposition de chambres meublées avec un service de nettoyage, de sorte qu'il est « matériellement impossible » pour lui de savoir ce qui s'y passe. Or, dans un précédent de 2021, la chambre administrative a jugé que le fait que le recourant ne soit pas lié par un contrat de travail avec les personnes se prostituant dans son salon de massages ou qu'il n'existe pas de rapport de subordination entre lui et celles-ci ne modifiait en rien ses obligations de responsable de salon ( ATA/747/2021 du 13 juillet 2021 consid. 7d). Il en a été de même dans un précédent de 2012, où la chambre de céans a jugé qu'en partageant un local qu'elle louait avec au moins une autre prostituée contre versement d'une participation au loyer, la justiciable était bien responsable d'un salon au sens de l'art. 8 LProst, aucun lien de subordination n'étant par ailleurs requis ( ATA/1100/2020 du 3 novembre 2020 consid. 4a ; ATA/14/2012 du 10 janvier 2012 consid. 5). Cela relève précisément des obligations du responsable de savoir ce qui se déroule au sein de ses salons. Le recourant ne peut ainsi pas feindre l'ignorance et minimiser ses devoirs en tant qu'exploitant pour justifier les absences répétées d'autorisations de travail idoines des travailleuses présentes dans ses locaux. Au demeurant, les contrôles des 19 juillet, 21 septembre 2021 et 17 janvier 2022 ont donné lieu, comme mentionné précédemment, à des ordonnances pénales définitives et exécutoires, ce qui démontre que l'infraction a bel et bien été commise. L'intimé était donc en droit de lui reprocher une violation de l'art. 12 let. b LProst, ceci à quatre reprises.</w:t>
      </w:r>
    </w:p>
    <w:p>
      <w:r>
        <w:rPr>
          <w:b/>
        </w:rPr>
        <w:t>E. 4.8</w:t>
      </w:r>
    </w:p>
    <w:p>
      <w:r>
        <w:t>La décision attaquée retient que le recourant a refusé d'octroyer l'accès aux locaux qu'il exploite à l'association ASPASIE, et ce, de manière réitérée. Or, notamment à teneur des art. 4 al. 1 let. a et 11 al. 2 RProst, seuls sont compétents pour procéder aux contrôles la direction générale de la santé ainsi que la médecin cantonale ou le médecin cantonal. Ne faisant manifestement pas partie de l'une de ces catégories, il n'y a aucune obligation légale pour les exploitants d'autoriser l'accès aux membres de l'association ASPASIE à leurs locaux, contrairement à ce qui a été retenu par l'intimé. ![endif]&gt;![if&gt; Ce grief sera admis. Toutefois, il ne modifie en rien, au vu des autres manquements du recourant, le dispositif de la décision. La question de la proportionnalité des mesures et sanctions sera abordée ci-après, une fois l'examen des autres reproches faits au recourant par l'intimé effectué.</w:t>
      </w:r>
    </w:p>
    <w:p>
      <w:r>
        <w:rPr>
          <w:b/>
        </w:rPr>
        <w:t>E. 5.1</w:t>
      </w:r>
    </w:p>
    <w:p>
      <w:r>
        <w:t>À teneur de l'art. 8 LProst, la prostitution de salon est celle qui s'exerce dans des lieux de rencontre soustraits à la vue du public (al. 1). Ces lieux, quels qu'ils soient, sont qualifiés de salons par la LProst (al. 2). Toutefois, le local utilisé par une personne qui s'y prostitue seule, sans recourir à des tiers, n'est pas qualifié de salon (al. 3).![endif]&gt;![if&gt;</w:t>
      </w:r>
    </w:p>
    <w:p>
      <w:r>
        <w:rPr>
          <w:b/>
        </w:rPr>
        <w:t>E. 5.2</w:t>
      </w:r>
    </w:p>
    <w:p>
      <w:r>
        <w:t>Toute personne physique qui, en tant que locataire, sous-locataire, usufruitière, propriétaire ou copropriétaire, exploite un salon et met à disposition de tiers des locaux affectés à l'exercice de la prostitution doit s'annoncer, préalablement et par écrit, aux autorités compétentes en indiquant le nombre et l'identité des personnes qui y exercent la prostitution (art. 9 al. 1 LProst). La personne qui effectue l'annonce est considérée comme personne responsable au sens de la LProst (art. 9 al. 4 LProst).![endif]&gt;![if&gt;</w:t>
      </w:r>
    </w:p>
    <w:p>
      <w:r>
        <w:rPr>
          <w:b/>
        </w:rPr>
        <w:t>E. 5.3</w:t>
      </w:r>
    </w:p>
    <w:p>
      <w:r>
        <w:t>La personne responsable d'un salon doit, au nombre des conditions personnelles à remplir, être au bénéfice d'un préavis favorable du DT confirmant que les locaux utilisés peuvent être affectés à une activité commerciale ou qu'une dérogation a été accordée (art. 10 let. d LProst).![endif]&gt;![if&gt; Cet article est entré en vigueur le 29 juillet 2017. Il est issu d'une modification législative faisant notamment suite à certaines recommandations formulées par la Cour des comptes dans son rapport n° 85 du 16 décembre 2014 (ci-après : le rapport n° 85), portant sur une évaluation de la politique publique en matière de prostitution visant entre autres à améliorer les conditions d’exercice de la prostitution et à développer l’autonomie des travailleurs du sexe (projet de loi n° 12'031 du 30 novembre 2016 modifiant la LProst [ci-après : PL 12'031], p. 6 ; p. 4 et 5 du rapport n° 85). Dans son rapport, la Cour des comptes a notamment relevé que la BTPI n’effectuait pas de contrôle de conformité sous l’angle de la loi sur les démolitions, transformations et rénovations de maisons d'habitation (mesures de soutien en faveur des locataires et de l'emploi) du 25 janvier 1996 (LDTR - L 5 20) ni ne communiquait d’informations au DT, n’y étant pas tenue par la LProst. La Cour des comptes a ainsi recommandé au DIN de coordonner son action, lors de la procédure d’enregistrement, avec celle du DT afin qu’un contrôle de conformité à la LDTR soit effectué en prenant notamment en compte la procédure de dérogations prévue à l’art. 8 LDTR en cas de changement d’affectation (p. 64 et p. 68). L'art. 10 let. d LProst est donc une concrétisation de cette recommandation ( ATA/1313/2018 du 4 décembre 2018 consid. 8). Le préavis du DT devait donc confirmer, pour les salons exploités dans des immeubles soumis à la LDTR, que les locaux pouvaient être affectés à une activité commerciale ou qu'une dérogation avait été accordée. Le préavis ne devait pas être sollicité directement par la personne responsable d'un salon mais par les services du DIN. Le salon ne pouvait pas être mis en exploitation tant que le DT n'avait pas délivré un préavis favorable et que la personne responsable n'avait pas été inscrite au registre tenu par la BTPI (p. 15). Les travaux préparatoires relatifs au PL 12'031 relevaient que la modification légale relative à l'art. 10 let. d LProst s'imposait d'autant plus que le canton de Genève était confronté à une pénurie de logements - alors que de nombreux locaux commerciaux cherchaient preneur - et qu'elle permettait en outre de lutter efficacement contre les nuisances liées à l'exploitation de lieux de prostitution et dénoncées dans plusieurs pétitions (p. 7).</w:t>
      </w:r>
    </w:p>
    <w:p>
      <w:r>
        <w:rPr>
          <w:b/>
        </w:rPr>
        <w:t>E. 5.4</w:t>
      </w:r>
    </w:p>
    <w:p>
      <w:r>
        <w:t>En l'espèce, il n'est pas contesté que le recourant n'a pas obtenu les préavis du DT exigés par la loi pour les treize appartements qu'il destine à la prostitution. Il se borne toutefois à affirmer que le principe de la bonne foi de l'administration interdit de revenir sur une situation tolérée et acceptée depuis 20 ans, la totalité de l'immeuble ayant toujours été exploitée de manière commerciale dans le domaine de la prostitution. Il n'y aurait donc, en l'état, selon lui, aucun changement d'affectation, ni aucune dérogation permettant de contourner la nécessité des préavis favorables. ![endif]&gt;![if&gt; Son raisonnement ne saurait ainsi être suivi. Il importe peu que les travailleuses du sexe y soient également domiciliées – ce qui n'est au demeurant pas étayé –, puisqu'une activité commerciale se déploie malgré tout dans les appartements destinés à l'habitation à l'exclusion de tout autre usage, et que la loi impose un préavis positif du DT pour l'exercice de ladite activité. Au surplus, c'est à raison que l'intimé observe que depuis le changement législatif en 2017, le recourant disposait d'un délai de deux ans pour régulariser sa situation. Or, il n'a accompli des démarches qu'une fois expressément invité à le faire par l'intimé à deux reprises, soit le 22 juillet et 14 septembre 2022, dans le cadre de la procédure amenant à la décision litigieuse. Ainsi, c'est à bon droit que l'intimé a retenu que le recourant ne remplissait pas non plus la condition personnelle prévue à l'art. 10 let. d LProst. La question de la proportionnalité des mesures et sanctions sera abordée ci-après.</w:t>
      </w:r>
    </w:p>
    <w:p>
      <w:r>
        <w:rPr>
          <w:b/>
        </w:rPr>
        <w:t>E. 6</w:t>
      </w:r>
    </w:p>
    <w:p>
      <w:r>
        <w:t>Reste à examiner si les mesures et sanctions infligées au recourant respectent le principe de la proportionnalité. ![endif]&gt;![if&gt;</w:t>
      </w:r>
    </w:p>
    <w:p>
      <w:r>
        <w:rPr>
          <w:b/>
        </w:rPr>
        <w:t>E. 6.1</w:t>
      </w:r>
    </w:p>
    <w:p>
      <w:r>
        <w:t>L'art. 14 LProst a trait aux mesures et sanctions administratives dont peut faire l'objet la personne responsable d'un salon (al. 1) qui n'a pas rempli son obligation d'annonce en vertu de l'art. 9 LProst (let. a), ne remplit pas ou plus les conditions personnelles de l'art. 10 LProst (let. b), n'a pas procédé aux communications qui lui incombent en vertu de l'art. 11 LProst (let. c) ou n'a pas respecté les obligations que lui impose l'art. 12 LProst (let. d). L'autorité compétente prononce, selon la gravité ou la réitération de l'infraction (al. 2) l'avertissement (let. a), la fermeture temporaire du salon, pour une durée de un à six mois et l'interdiction d'exploiter tout autre salon, pour une durée analogue (let. b) ou la fermeture définitive du salon et l'interdiction d'exploiter tout autre salon pour une durée de dix ans (let. c).![endif]&gt;![if&gt; La fermeture, temporaire ou définitive, est conçue davantage comme une mesure administrative, destinée à protéger l'ordre public et la liberté d'action des personnes qui se prostituent que comme une sanction. Pour être efficace, une telle mesure doit être accompagnée d'une véritable sanction administrative consistant en une interdiction d'exploiter tout autre salon afin d'empêcher la personne concernée de Reste encore à examiner si les mesures et sanctions infligées au recourant respectent le principe de la proportionnalité. poursuivre, ou reprendre, l'exploitation d'un autre établissement quelques rues plus loin (MGC 2008-2009/VII A 8669).</w:t>
      </w:r>
    </w:p>
    <w:p>
      <w:r>
        <w:rPr>
          <w:b/>
        </w:rPr>
        <w:t>E. 6.2</w:t>
      </w:r>
    </w:p>
    <w:p>
      <w:r>
        <w:t>Il ressort des travaux préparatoires relatifs à la LProst qu'outre la prévention du risque d'exploitation des prostitué(e)s par une personne criblée de dettes, l'exigence de garantie de solvabilité selon l'art. 10 let. c LProst poursuit également l'intérêt public d'éviter les conséquences d'une mauvaise gestion d'un salon de prostitution, notamment par rapport aux éventuels employés de celui-ci (Rapport de la Commission judiciaire et de la police du Grand Conseil genevois chargée d'étudier le projet de loi du Conseil d'Etat sur la prostitution, du 17 novembre 2009 [PL 10447-A], p. 37 s.). En présence d'une activité soumise à la surveillance renforcée de l'Etat (ATF 137 I 167 consid. 8.4.1), il existe un intérêt public légitime à éviter l'insolvabilité de son exploitante de même que les répercussions potentiellement néfastes d'une telle situation sur ses méthodes de gestion ainsi que sur les personnes (clients, prostitués, usagers des locaux, etc.) concernées par cette activité (arrêt du Tribunal fédéral 2C_166/2012 précité consid. 5.4).![endif]&gt;![if&gt;</w:t>
      </w:r>
    </w:p>
    <w:p>
      <w:r>
        <w:rPr>
          <w:b/>
        </w:rPr>
        <w:t>E. 6.3</w:t>
      </w:r>
    </w:p>
    <w:p>
      <w:r>
        <w:t>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Elle s'applique à tout bâtiment situé dans l’une des zones de construction prévues par l’art. 19 de la loi d’application de la loi fédérale sur l’aménagement du territoire du 4 juin 1987 (LaLAT - L 1 30) et comportant des locaux qui, par leur aménagement et leur distribution, sont affectés à l’habitation (art. 2 al. 1 LDTR).![endif]&gt;![if&gt; Nul ne peut, sauf dérogation au sens de l’art. 8 LDTR, même en l’absence de travaux, remplacer des locaux à destination de logements, occupés ou inoccupés, par des locaux à usage commercial, administratif, artisanal ou industriel, dans un bâtiment soumis à la LDTR (art. 3 et 7 LDTR). La chambre de céans a jugé que la BTPI, tout comme le DIN, se bornent à vérifier que le préavis positif du DT a bel et bien été obtenu, mais ne disposent d'aucun pouvoir de décision ou d'appréciation en la matière relatif audit préavis. Ce système ne viole pas les garanties générales de procédure. L’exploitant reste parfaitement libre de solliciter une décision du DT tendant à faire constater que l'usage prévu des locaux ne nécessiterait aucun changement d'affectation, à solliciter un changement d'affectation des locaux, respectivement à solliciter une dérogation audit changement d'affectation. Elle dispose alors d'une voie de recours contre la décision rendue par le DT ( ATA/486/2020 du 19 mai 2020 consid. 5 ; ATA/1313/2018 précité consid. 11).</w:t>
      </w:r>
    </w:p>
    <w:p>
      <w:r>
        <w:rPr>
          <w:b/>
        </w:rPr>
        <w:t>E. 6.4</w:t>
      </w:r>
    </w:p>
    <w:p>
      <w:r>
        <w:t>L'art. 27 Cst. garantit la liberté économique, qui comprend notamment le libre choix de la profession, le libre accès à une activité économique privée et son libre exercice et protège toute activité économique privée, exercée à titre professionnel et tendant à la production d’un gain ou d’un revenu (ATF 135 I 130 consid. 4.2 ; arrêts du Tribunal fédéral 2C_138/2015 du 6 août 2015 consid. 4.1 ; 2C_32/2015 du 28 mai 2015 consid. 5.1).![endif]&gt;![if&gt; Une restriction à cette liberté est admissible, aux conditions de l’art. 36 Cst. Toute restriction doit ainsi se fonder sur une base légale (al. 1), être justifiée par un intérêt public ou par la protection d’un droit fondamental d’autrui (al. 2) et proportionnée au but visé (al. 3). Sous l’angle de l’intérêt public, sont autorisées les mesures de police, les mesures de politique sociale ainsi que les mesures dictées par la réalisation d’autres intérêts publics (ATF 125 I 322 consid. 3a). Sont en revanche prohibées les mesures de politique économique ou de protection d’une profession qui entravent la libre concurrence en vue de favoriser certaines branches professionnelles ou certaines formes d’exploitation (art. 94 al. 1 Cst. ; ATF 140 I 218 consid. 6.2 ; arrêts du Tribunal fédéral 2C_138/2015 précité consid. 4.1). De plus, pour être conforme au principe de la proportionnalité, une restriction à un droit fondamental doit être apte à atteindre le but visé, lequel ne peut pas être obtenu par une mesure moins incisive ; il faut en outre qu’il existe un rapport raisonnable entre les effets de la mesure sur la situation de la personne visée et le résultat escompté du point de vue de l’intérêt public (ATF 137 I 167 consid. 3.6 ; arrêts du Tribunal fédéral 2C_138/2015 précité consid. 4.1).</w:t>
      </w:r>
    </w:p>
    <w:p>
      <w:r>
        <w:rPr>
          <w:b/>
        </w:rPr>
        <w:t>E. 6.5</w:t>
      </w:r>
    </w:p>
    <w:p>
      <w:r>
        <w:t>Indépendamment du prononcé des mesures et sanctions administratives, l'autorité compétente peut infliger une amende administrative de CHF 100.- à CHF 60'000.- à toute personne ayant enfreint les prescriptions de la loi ou ses dispositions d'exécution (art. 25 al. 1 LProst).![endif]&gt;![if&gt;</w:t>
      </w:r>
    </w:p>
    <w:p>
      <w:r>
        <w:rPr>
          <w:b/>
        </w:rPr>
        <w:t>E. 6.6</w:t>
      </w:r>
    </w:p>
    <w:p>
      <w:r>
        <w:t>Les amendes administratives prévues par la législation cantonale sont de nature pénale. Leur quotité doit ainsi être fixée en tenant compte des principes généraux régissant le droit pénal ( ATA/991/2016 du 22 novembre 2016 consid. 6a ; ATA/810/2016 du 27 septembre 2016 consid. 4a et la référence citée). En vertu de l'art. 1 al. 1 let. a de la loi pénale genevoise du 17 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L'administration doit faire preuve de sévérité afin d'assurer le respect de la loi et jouit d'un large pouvoir d'appréciation pour infliger une amende. La juridiction de céans ne la censure qu'en cas d'excès. Enfin, l'amende doit respecter le principe de la proportionnalité (art. 36 al. 3 Cst. ; ATA/991/2016 précité consid. 6a).![endif]&gt;![if&gt;</w:t>
      </w:r>
    </w:p>
    <w:p>
      <w:r>
        <w:rPr>
          <w:b/>
        </w:rPr>
        <w:t>E. 6.7</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le principe de la proportionnalité (ATF 137 V 71 consid. 5.1 ; 123 V 150 consid. 2 et les références citées ; ATA/114/2015 du 27 janvier 2015 consid. 5c).![endif]&gt;![if&gt;</w:t>
      </w:r>
    </w:p>
    <w:p>
      <w:r>
        <w:rPr>
          <w:b/>
        </w:rPr>
        <w:t>E. 6.8</w:t>
      </w:r>
    </w:p>
    <w:p>
      <w:r>
        <w:t>En l'espèce, les fautes commises par le recourant doivent être qualifiées de graves. Celui-ci a tenté de cacher sa situation financière obérée en ne la communiquant pas spontanément au DIN, pendant plusieurs années. Il n'a de plus pas sollicité les préavis du DT, contrairement à ses obligations légales (art. 10 let. c et d et 11 LProst). Il a également omis, à plusieurs reprises, de s'assurer que les travailleuses du sexe exerçant dans ses salons soient au bénéfice d'autorisation de travail valable, ainsi que d'informer les autorités compétentes du transfert de bail à E______ en violation manifeste de ses obligations (art. 11 et 12 let. b LProst). Au surplus, dans le but de légitimer ses manquements, il a tenté de réduire son rôle à celui d'un responsable d'hôtel, ce qu'il savait être faux s'étant annoncé auprès de la police, en 2010, comme exploitant des salons de massages érotiques « B______ ».![endif]&gt;![if&gt;</w:t>
      </w:r>
    </w:p>
    <w:p>
      <w:r>
        <w:rPr>
          <w:b/>
        </w:rPr>
        <w:t>E. 6.8.1</w:t>
      </w:r>
    </w:p>
    <w:p>
      <w:r>
        <w:t>Le retrait de ses autorisations est apte et nécessaire pour atteindre les intérêts publics poursuivis, notamment celui d'éviter d'exposer les prostituées, à une pratique usurière et de favoriser l'exercice conforme au droit de l'activité de prostitution dans son ensemble, ainsi qu'une gestion correcte et transparente des établissements publics actifs dans ce domaine à risque (art. 1 LProst ; ATF 137 I 167 consid. 7.2.2 consid. 7.5, 8.2 et consid. 9.1.4). Par ailleurs, l'ordre de fermeture, ainsi que l'interdiction d'exploiter pendant une durée de dix ans, prive uniquement le recourant de l'exercice d'une activité économique dans le domaine de la prostitution. Toute autre activité économique, notamment en lien avec les buts de sa société, qui prévoit entre autres des activités de bar, restaurant, danse, disco ou encore l'organisation de spectacles culturels et musicaux, restent ainsi possibles. ![endif]&gt;![if&gt; Au surplus, comme retenu ci-dessus, le recourant ne remplit plus deux des conditions personnelles nécessaires à l'exploitation, d'autant plus que le DIN, de même que la BTPI, ne disposent d'aucune marge de manœuvre en l'absence d'un préavis positif du DT. Le comportement du recourant, ainsi que ses affirmations hasardeuses quant à sa qualité d'exploitant de salons de massages, permettent de douter de ses capacités et volonté à assumer la responsabilité d'un salon conformément à la LProst. Au vu de l'ensemble de ces éléments, aucune mesure moins incisive tel que l'avertissement (art. 14 al. 2 let. a LProst) ou la fermeture temporaire du salon, pour une durée de six mois, assortie d'une interdiction d'exploiter tout autre salon pour une durée analogue (art. 14 al. 2 let. b LProst), ne parait suffisante. L'intérêt du recourant à pouvoir gérer des salons de prostitution doit ainsi céder le pas à l'intérêt public au respect des conditions gouvernant l'exploitation de ces établissements.</w:t>
      </w:r>
    </w:p>
    <w:p>
      <w:r>
        <w:rPr>
          <w:b/>
        </w:rPr>
        <w:t>E. 6.8.2</w:t>
      </w:r>
    </w:p>
    <w:p>
      <w:r>
        <w:t>Il est encore relevé que le recourant ne conteste pas spécifiquement la quotité de l'amende qui lui a été infligée. Compte tenu de la gravité des infractions à la LProst, de la situation financière obérée et le manque de préavis positif du DT, le montant de CHF 1'000.-, qui se situe au bas de la « fourchette » prévue par l'art. 25 al. 1 LProst, ne prête, au demeurant, pas le flanc à la critique et apparaît même clément.![endif]&gt;![if&gt; Mal fondé, le recours sera rejeté. Le présent arrêt rend sans objet la requête de mesures provisionnelles.</w:t>
      </w:r>
    </w:p>
    <w:p>
      <w:r>
        <w:rPr>
          <w:b/>
        </w:rPr>
        <w:t>E. 7</w:t>
      </w:r>
    </w:p>
    <w:p>
      <w:r>
        <w:t>Vu l'issue du litige, un émolument de CHF 800.- sera mis à la charge du recourant, qui succombe (art. 87 al. 1 LPA). Il ne sera pas alloué d'indemnité de procédure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