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A/1271/2021 vom 28. September 2021</w:t>
      </w:r>
    </w:p>
    <w:p>
      <w:r>
        <w:t>GE Cour de justice, 2021-09-28, FR</w:t>
      </w:r>
    </w:p>
    <w:p>
      <w:r>
        <w:rPr>
          <w:b/>
        </w:rPr>
        <w:t xml:space="preserve">Quelle: </w:t>
      </w:r>
      <w:r>
        <w:t>https://mcp.opencaselaw.ch/entscheid/ge_gerichte_A_1271_2021</w:t>
      </w:r>
    </w:p>
    <w:p>
      <w:r>
        <w:t>FR: GE_GERICHTE A/1271/2021 du 28 septembre 2021</w:t>
      </w:r>
    </w:p>
    <w:p>
      <w:r>
        <w:t>IT: GE_GERICHTE A/1271/2021 del 28 settembre 2021</w:t>
      </w:r>
    </w:p>
    <w:p>
      <w:pPr>
        <w:pStyle w:val="Heading2"/>
      </w:pPr>
      <w:r>
        <w:t>Regeste</w:t>
      </w:r>
    </w:p>
    <w:p>
      <w:r>
        <w:t>DROIT FONCIER RURAL;ZONE AGRICOLE;EXPLOITATION AGRICOLE;IMMEUBLE AGRICOLE;BÂTIMENT D'HABITATION(EXPLOITATION AGRICOLE);EXCEPTION(DÉROGATION) | Pour chacun des bâtiments en cause, dont a été requis le désassujetissement, au moins une des trois conditions nécessaires et cumulatives de la composante d'ordre subjectif de la caractéristique de l'aptitude agricole de l'immeuble en cause, que le Tribunal fédéral considère comme des conditions strictes pour que l'immeuble puisse perdre sa nature agricole, n'est pas remplie. Les bâtiments concernés, appropriés à un usage agricole au sens de l'art. 6 al. 1 LDFR, doivent donc rester soumis au champ d'application de la LDFR. Recours rejeté. | LPA.61; LDFR.1.al1.leta; LDFR.2; LDFR.6.al1; LDFR.7; LDFR.58.al1; LDFR.60.al1.leta; LaLDFR.3.al1; LaLDFR.10.letf; RaLDFR.10; ODFR.4a</w:t>
      </w:r>
    </w:p>
    <w:p>
      <w:pPr>
        <w:pStyle w:val="Heading2"/>
      </w:pPr>
      <w:r>
        <w:t>Erwägungen</w:t>
      </w:r>
    </w:p>
    <w:p>
      <w:r>
        <w:rPr>
          <w:b/>
        </w:rPr>
        <w:t>E. 2</w:t>
      </w:r>
    </w:p>
    <w:p>
      <w:r>
        <w:t>, outre le fait que la recourante n'apporte aucun élément ou pièce à l'appui de cette allégation, il ressort des plans visés ne varietur le 25 mai 2010 qu'il est composé de deux chambres, d'une cuisine et d'une salle de bains. Même si une certaine vétusté est plausible, l'appartement est « convenable » en ce sens qu'il dispose de toutes les caractéristiques permettant son habitabilité (cuisine, sanitaires, chauffage et jours verticaux ouvrant sur l’extérieur). Elle ne rend ainsi pas impossible l'utilisation de cet appartement en vue de la mission directement liée à l'entreprise agricole de son occupant. Le bâtiment n° 3______, qui est un chalet, est occupé à bien plaire par un des anciens propriétaires de la société. Il est ainsi habitable et il doit être retenu qu'il a été utilisé à titre d'habitation servant l'exploitation des champignons durant de longues années au vu des liens existants entre l'occupant dudit chalet et l'entreprise agricole. Comme le bâtiment n° 4______, il fait ainsi partie intégrante de l'entreprise de champignonnière. Ainsi, la première condition permettant de faire perdre au bâtiment sa nature agricole n'est pas réalisée, puisque l'usage non agricole ne dure pas depuis quelques dizaines d'années, étant relevé que ce n'est que le 27 février 2020 que M. D______ a acquis l'ensemble des parts sociales de la société. Partant, pour chacun des bâtiments en cause au moins une des trois conditions nécessaires et cumulatives de la composante d'ordre subjectif de la caractéristique de l'aptitude agricole de l'immeuble en cause, que le Tribunal fédéral considère comme des conditions strictes pour que le bâtiment puisse perdre sa nature agricole, n'est pas remplie. Les bâtiments concernés restent donc appropriés à un usage agricole au sens de l'art. 6 al. 1 LDFR. En conséquence, les bâtiments n os 3______ et 4______ sis sur la parcelle n° 1______ de B______ doivent rester soumis au champ d'application de la LDFR. Enfin et dans la mesure où il était évident que les bâtiments considérés devaient rester soumis à la LDFR, la CFA était en droit de ne pas procéder à la coordination des procédures en interpellant l'OAC sur la légalité de l'affectation de la construction ou de l'installation visés par la requête en désassujetissement (art. 4a al. 3 ODFR). Au vu de ces éléments, l'intimée n'a pas excédé ou abusé de son pouvoir d'appréciation en refusant le désassujetissement des bâtiments n os 3______ et 4______. La décision querellée est par conséquent conforme au droit et le recours sera rejeté. 5) Vu l'issue du litige, un émolument de procédure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