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A/1262/2024 vom 29. November 2024</w:t>
      </w:r>
    </w:p>
    <w:p>
      <w:r>
        <w:t>GE Cour de justice, 2024-11-29, FR</w:t>
      </w:r>
    </w:p>
    <w:p>
      <w:r>
        <w:rPr>
          <w:b/>
        </w:rPr>
        <w:t xml:space="preserve">Quelle: </w:t>
      </w:r>
      <w:r>
        <w:t>https://mcp.opencaselaw.ch/entscheid/ge_gerichte_A_1262_2024</w:t>
      </w:r>
    </w:p>
    <w:p>
      <w:r>
        <w:t>FR: GE_GERICHTE A/1262/2024 du 29 novembre 2024</w:t>
      </w:r>
    </w:p>
    <w:p>
      <w:r>
        <w:t>IT: GE_GERICHTE A/1262/2024 del 29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60 LPGA ; art. 62 al. 1 de la de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w:t>
      </w:r>
    </w:p>
    <w:p>
      <w:r>
        <w:rPr>
          <w:b/>
        </w:rPr>
        <w:t>E. 2</w:t>
      </w:r>
    </w:p>
    <w:p>
      <w:r>
        <w:t>Le litige porte sur le droit du recourant à des prestations de l'assurance-invalidité, en particulier sur la question de savoir si l'intimé a correctement instruit le dossier et calculé le degré d'invalidité.</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un éventuel droit à une rente d’invalidité naîtrait au plus tôt en septembre 2023 soit six mois après le dépôt de la demande du 20 mars 2023 ( cf . art. 29 al. 1 LAI),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Aux termes de l'art. 43 LPGA,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 bis ).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(arrêt du Tribunal fédéral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(Jacques Olivier PIGUET, in Commentaire romand de la loi sur la partie générale des assurances sociales, 2018, n. 12 ad art. 43 LPGA). Selon la jurisprudence, il est par ailleurs admissible de se fonder de manière déterminante sur un rapport du SMR. Même si celui-ci a pour fonction d'opérer la synthèse des renseignements médicaux versés au dossier, de prendre position à leur sujet et de prodiguer des recommandations quant à la suite à donner au dossier sur le plan médical, et qu'il ne contient aucune observation clinique, il n'est cependant pas dénué de toute valeur probante.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l'intimé a fondé sa décision de refus de prestations sur les conclusions du SMR du 1 er novembre 2023, aux termes desquelles le recourant présentait une incapacité totale de travail dans son activité habituelle dès le 5 août 2022, et une capacité de travail entière dans une activité adaptée à ses limitations fonctionnelles dès le 31 mars 2023. Le recourant conteste la valeur probante de ces conclusions, au motif qu'aucune expertise médicale n'a été rendue, ce qui rendrait l'instruction médicale lacunaire. Or, comme relevé ci-dessus, l'assureur dispose d'un large pouvoir d'appréciation en ce qui concerne la nécessité, l'étendue et l'adéquation de recueillir des données médicales. Il pouvait en l'occurrence se fonder de manière déterminante sur le rapport du SMR. En effet, les conclusions de celui-ci sont en accord avec les constatations des médecins traitants, aucun d'entre eux n'ayant indiqué que le recourant ne pourrait réaliser une activité adaptée, ou uniquement à un taux réduit, voire avec une baisse de rendement. Plus précisément, la Dre B______ a relevé à deux reprises que le recourant pouvait exercer un travail peu physique (assis ou en position alternée assise et debout, sans port de charges lourdes et sans position statique debout plus de deux heures), le Dr D______ n'a fait état d'aucun diagnostic incapacitant et le Dr E______ a fait état d'une capacité de travail de 100% dans une activité adaptée. Quant au Dr F______, il a indiqué ne pas avoir revu le recourant depuis la mi-janvier 2023, de sorte qu'il ne pouvait se prononcer sur la question de l'exigibilité d'une activité lucrative. S'il est certes vrai qu'il a aussi mentionné que la reprise d'une activité professionnelle lui semblait compliquée, sans un éventuel traitement intervenu dans l'intervalle ayant pu changer la situation symptomatique, les limitations fonctionnelles qu'il a répertoriées (difficulté à marcher avec périmètre de marche très restreint, impossibilité de faire des mouvements sollicitant le genou tels que genou en flexion ou travail accroupi, et impossibilité de porter des charges) se recoupent néanmoins avec celles prises en considération par le SMR. Par ailleurs, s'agissant des lombalgies affectant le recourant, l'étroitesse constitutionnelle de son canal lombaire est connue de longue date puisqu'elle apparaissait déjà à l'IRM du 12 mai 2014 et a été retenue par le SMR ( cf . mention d'un canal dorsolombaire étroit dans l'avis du 1 er novembre 2023). Quant à l'examen neurologique du 26 janvier 2023 pratiqué par le Dr C______, il signale une discopathie en L1-L2 et révèle l'absence de signe de dénervation active dans les myotomes L2-S2 ou L4-L5. Or, le SMR a non seulement mentionné, dans son rapport, des discopathies dégénératives des vertèbres dorsales, mais aussi des vertèbres L1-L2. Au surplus, même si l'examen neurologique a montré un léger ralentissement de vitesse de conduction proximale sur le nerf tibial gauche, le Dr C______ a néanmoins exposé que ce paramètre n'expliquait en rien la symptomatologie du recourant, qui était d'ordre non neurologique et vraisemblablement liée aux lésions méniscales. Ce rapport neurologique ne permet ainsi pas de remettre en question les conclusions du SMR. Quant à la difficulté, pour le recourant, de maintenir la position assise, si, selon le rapport d'IPT, le stage réalisé en juillet 2023 semblait certes avoir provoqué de telles limitations, leur intensité et leur persistance ne se déduit pas de ce document. Le second stage effectué par le recourant dans un centre de détention, de fin septembre à fin novembre 2023, n'a en effet pas fait apparaître de telles douleurs, qui ne sont pas mentionnées dans le rapport. Au contraire, ce stage a été suivi d'une offre d'emploi de deux mois dans la même institution, compte tenu de la satisfaction de l'employeur. Par ailleurs, le Dr E______ avait noté que le recourant ne pouvait pas rester assis trop longtemps et le SMR a retenu que les positions statiques prolongées devaient être évitées, de sorte qu'il fallait privilégier une activité sédentaire autorisant une alternance des positions. Les limitations à la station assise invoquées par le recourant au vu de l'évolution de son état de santé dans le cadre de son contrat de durée déterminée n'ajoutent par conséquent pas de nouvelles restrictions par rapport à celles prises en compte par le SMR. Elles ne sont par ailleurs pas attestées sur le plan médical, aucun médecin n'ayant confirmé une exacerbation des douleurs à la suite des récentes activités exercées. Le rapport médical complémentaire du 23 avril 2024 que le recourant a produit dans la procédure de recours ne permet pas non plus de remettre en cause les conclusions de l'instruction médicale. Bien que les examens pratiqués ont mis en évidence un canal lombaire étroit à quatre niveaux (de L1 à L5) entraînant une claudication neurogène, il sied de constater que ces résultats sont postérieurs d'un mois et demi à la décision attaquée. Par ailleurs, l'anamnèse fait état de douleurs lombaires récemment en péjoration, avec d'importants troubles de la marche. Rien n'indique donc, sous l'angle de la vraisemblance prépondérante, que la claudication neurogène serait antérieure à la décision du 29 février 2024, étant souligné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qui ont modifié cette situation, doivent ainsi en principe faire l'objet d'une nouvelle décision administrative (ATF 144 V 210 consid. 4.3.1 ; 130 V 130 consid. 2.1). Au vu de ce qui précède, il n'existe aucun motif de s'écarter des conclusions pertinentes du rapport du SMR. Le recourant affirme encore que l'intimé ne pouvait rendre sa décision avant la fin des mesures de réadaptation professionnelle initiées par l'assurance-chômage, celles-ci devant notamment permettre de déterminer si l'activité de gardien qu'il exerçait était adaptée à son état de santé. S'agissant par ailleurs d'un contrat de durée déterminée, il n'existait aucune garantie de renouvellement. Cette argumentation tombe à faux. Les différents stages effectués par le recourant et le contrat de durée déterminée qu'il a obtenu ne constituent pas des mesures de réadaptation au sens de la LAI ( cf . art. 8 ss LAI). Il s'agit de mesures mises en œuvre par l'office cantonal de l'emploi, au vu de sa période de chômage, qui n'ont pas vocation à se prononcer spécifiquement sur son état de santé, ni à déterminer quelles activités sont adaptées à ses limitations fonctionnelles. L'intimé était par conséquent fondé à clore l'instruction du dossier avant la fin de ces mesures. Au vu de ce qui précède, la conclusion selon laquelle le recourant présente une capacité de travail entière dans une activité adaptée aux limitations fonctionnelles listées par le SMR, dès le 31 mars 2023 – date du rapport de la Dre B______ –, peut être confirmée. Le fait que la décision querellée mentionne de manière erronée la date du 5 août 2022 en tant que point de départ de l'exigibilité dans une activité adaptée n'a pas de conséquence, au vu du délai d'attente d'une année avant l'octroi d'une rente d'invalidité ( cf . art. 28 al. 1 LAI). Il s'ensuit que la mise en œuvre d'une expertise sollicitée par le recourant doit être rejetée, par appréciation anticipée des preuves.</w:t>
      </w:r>
    </w:p>
    <w:p>
      <w:r>
        <w:rPr>
          <w:b/>
        </w:rPr>
        <w:t>E. 5</w:t>
      </w:r>
    </w:p>
    <w:p>
      <w:r>
        <w:t>Dans un second moyen, le recourant conteste le calcul du taux d'invalidité auquel a procédé l'intimé. Il soutient, d'une part, qu'il n'existerait aucune activité lui étant accessible sur le marché ordinaire de l'emploi au vu de ses nombreuses limitations et, d'autre part, que la détermination de sa perte de gain est erronée.</w:t>
      </w:r>
    </w:p>
    <w:p>
      <w:r>
        <w:rPr>
          <w:b/>
        </w:rPr>
        <w:t>E. 5.1</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9C_248/2018 du 19 septembre 2018 consid. 6.2 et les références). En d’autres termes,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du Tribunal fédéral 8C_772/2020 du 9 juillet 2021 consid. 3.3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( 8C_661/2023 du 21 mai 2024 consid. 5 et les références). Ainsi, même s'il paraît judicieux que l'office AI donne des exemples d'activités que la personne assurée peut encore exercer, à titre d'information, il n'en a pas l'obligation, le marché du travail offrant un éventail suffisamment large d'activités légères et accessibles sans aucune formation particulière (arrêt du Tribunal fédéral 9C_279/2008 du 16 décembre 2008 consid. 4).</w:t>
      </w:r>
    </w:p>
    <w:p>
      <w:r>
        <w:rPr>
          <w:b/>
        </w:rPr>
        <w:t>E. 5.2</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Il ne s’agit pas d’une « comparaison en pour-cent »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w:t>
      </w:r>
    </w:p>
    <w:p>
      <w:r>
        <w:rPr>
          <w:b/>
        </w:rPr>
        <w:t>E. 5.2.1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(arrêts du Tribunal fédéral I 168/05 du 24 avril 2006 consid. 3.3 et B 80/01 du 17 octobre 2003 consid. 5.2.2) ou lorsque l’assuré a quitté son emploi pour d’autres motifs que son état de santé ( cf . arrêt du Tribunal fédéral 8C_537/2023 du 17 avril 2024 consid. 4.2.3 et 5.1 et les références). L'art. 26 RAI, entré en vigueur le 1 er janvier 2022, prévoit par ailleurs, à son al. 4, que le revenu sans invalidité est déterminé sur la base des valeurs statistiques visées à l’art. 25 al. 3 RAI pour une personne ayant la même formation et une situation professionnelle correspondante, si le revenu effectivement réalisé ne peut pas être déterminé ou ne peut pas l’être avec suffisamment de précision.</w:t>
      </w:r>
    </w:p>
    <w:p>
      <w:r>
        <w:rPr>
          <w:b/>
        </w:rPr>
        <w:t>E. 5.2.2</w:t>
      </w:r>
    </w:p>
    <w:p>
      <w:r>
        <w:t>Le revenu avec invalidité est aussi déterminé en fonction des valeurs statistiques visées à l’art. 25 al. 3 RAI, si l’assuré ne réalise pas de revenu déterminant après la survenance de l'invalidité (art. 26 bis al. 2 RAI). À ce titre,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 arrêts du Tribunal fédéral 9C_603/2015 du 25 avril 2016 consid. 8.1 et 9C_242/2012 du 13 août 2012 consid. 3).</w:t>
      </w:r>
    </w:p>
    <w:p>
      <w:r>
        <w:rPr>
          <w:b/>
        </w:rPr>
        <w:t>E. 5.3</w:t>
      </w:r>
    </w:p>
    <w:p>
      <w:r>
        <w:t>Selon l’art. 26 bis al. 3 RAI – dans sa teneur en vigueur du 1 er janvier 2022 au 31 décembre 2023 –, si, du fait de l’invalidité, les capacités fonctionnelles de l’assuré au sens de l’art. 49 al. 1 bis RAI, ne lui permettent de travailler qu’à un taux d’occupation de 50% ou moins, une déduction de 10% pour le travail à temps partiel est opérée sur la valeur statistique. Le 1 er janvier 2024, la modification de l’art. 26 bis al. 3 RAI du 18 octobre 2023 (RO 2023 635) est entrée en vigueur. Dans sa nouvelle teneur, l’art. 26 bis al. 3 RAI prévoit désormais qu’une déduction de 10% est opérée sur la valeur statistique visée à l’al. 2. Si, du fait de l’invalidité, l’assuré ne peut travailler qu’avec une capacité fonctionnelle au sens de l’art. 49 al. 1 bis RAI, de 50% ou moins, une déduction de 20% est opérée. Aucune déduction supplémentaire n’est possible. Dans un arrêt de principe ( 8C_823/2023 du 8 juillet 2024, destiné à la publication), le Tribunal fédéral a considéré que le régime de déduction sur les salaires statistiques des ESS, tel que prévu de manière exhaustive à l’art. 26 bis al. 3 RAI dans sa teneur en vigueur du 1 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 cf . consid. 9.4.2). Or, en limitant la déduction à 10% dans le cas où les capacités fonctionnelles de la personne assurée ne lui permettent de travailler qu’à un taux d’occupation de 50% ou moins ( cf . art. 26 bis al. 3 RAI), le Conseil fédéral avait choisi une autre voie (consid. 9.4.3). Par conséquent, si en raison des circonstances du cas d’espèce, le salaire statistique des ESS doit être adapté au-delà de ce que prévoit l’art. 26 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L'étendue de l'abattement justifié dans un cas concret relève du pouvoir d'appréciation (ATF 132 V 393 consid. 3.3). S'agissant de l'abattement lié au handicap, il y a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Un certain nombre d'activités simples et légères ne requièrent pas de déplacement itératif (surtout sur terrain irrégulier), de station debout prolongée, de position accroupie ou à genoux ni de port de charges lourdes, ou permettent l'alternance des positions assise et debout, de sorte qu'un abattement ne se justifie en principe pas (arrêts du Tribunal fédéral 8C_860/2018 du 6 septembre 2019 consid. 6.3.3 et 8C_679/2020 du 1 er juillet 2021 consid. 6.2.2).</w:t>
      </w:r>
    </w:p>
    <w:p>
      <w:r>
        <w:rPr>
          <w:b/>
        </w:rPr>
        <w:t>E. 5.4</w:t>
      </w:r>
    </w:p>
    <w:p>
      <w:r>
        <w:t>En l'occurrence, le recourant n'avance aucun élément concret qui permettrait de retenir qu'il n'a aucune perspective réaliste d'exercer une activité professionnelle sur le marché équilibré du travail. Ses limitations fonctionnelles sont d'ordre somatique et l'empêchent d'effectuer des activités contraignantes pour les genoux et le rachis, ou des activités trop statiques. Or, d'après la jurisprudence du Tribunal fédéral, le marché équilibré du travail offre suffisamment de possibilités d'exercer des activités légères ou alternées (arrêts du Tribunal fédéral 9C_424/2022 du 15 novembre 2022 consid. 5 et 8C_732/219 du 19 octobre 2020 consid. 4.5 et les références). Le grief tombe ainsi à faux. Le recourant soulève ensuite plusieurs arguments ayant trait à la détermination de la perte de gain opérée par l'autorité intimée. Il semble d'abord reprocher à l'intimé d'avoir confondu le degré d'invalidité avec le gain qu'il percevait dans le cadre de sa mesure de placement par l'assurance-chômage. Tel n'est cependant pas le cas. L'intimé a en effet déterminé le taux d'invalidité du recourant en effectuant une comparaison des revenus, en se fondant sur les statistiques pour établir le revenu avec et sans invalidité. Cette façon de procéder était justifiée dans le cas d'espèce, compte tenu du fait que le recourant était au chômage avant le début de son incapacité de travail durable et qu'il n'avait pas repris d'emploi fixe. Dans un tel cas de figure, comme la jurisprudence l'a relevé, il est superflu de chiffrer exactement la perte de gain, celle-ci se confondant avec le taux d'incapacité de travail. Le recourant critique ensuite le calcul de l'invalidité en se prévalant d'un taux d'activité réduit à 40% et d'une baisse de rendement de 30%. Les conclusions de l'instruction médicale réalisée par l'intimé ayant été jugées probantes, il n'y a cependant pas lieu de prendre en considération ces paramètres de calcul. Il soutient en outre que son revenu sans invalidité devrait être basé sur les salaires de l'ESS de niveau 2, ses revenus antérieurs n'étant pas suffisamment représentatifs. S'il est certes vrai que le recourant dispose d'une formation de niveau secondaire suivie dans son pays d'origine et a réalisé plusieurs modules de formation dans le domaine de la sécurité en Suisse, il n'en demeure pas moins qu'il n'a jamais, avant l'atteinte à la santé, exercé de manière principale des métiers pratiques ayant ce niveau de compétence, puisqu'il était actif dans le domaine de l'entretien de bâtiments et en tant qu'aide-cuisinier. Bien que le recourant effectuait, depuis 2020, des missions sur appel dans le domaine de la sécurité, il n'en a jamais dégagé des revenus conséquents laissant penser que cette activité serait, selon la vraisemblance prépondérante, devenue son activité principale s'il n'avait pas subi une incapacité de travail. Au contraire, entre son licenciement de son poste principal d'aide-cuisinier et la date du 5 août 2022, il n'a pas été engagé de manière fixe pour un tel emploi. Le choix de l'intimé de fixer le revenu sans invalidité en référence au niveau 1 des salaires de l'ESS apparaît par conséquent bien-fondé. Le recourant se prévaut enfin de ce qu'un abattement de 25% sur le revenu avec invalidité devrait être appliqué. Pour la période antérieure au 1 er janvier 2024, le Tribunal fédéral a effectivement jugé, dans un récent arrêt de principe, que l'ancienne jurisprudence restait applicable et pouvait conduire à accorder d'autres taux de déduction que le forfait de 10% prévu par l'art. 26 bis al. 3 RAI lorsque le taux d'occupation de la personne assurée est de 50% ou moins en raison de ses capacités fonctionnelles. Aucun élément ne permet cependant, dans le cas d'espèce, de remettre en cause le résultat de la décision entreprise. En effet, seul un abattement en raison des limitations fonctionnelles pourrait éventuellement être accordé, celles-ci n'ayant pas déjà conduit à la reconnaissance d'une capacité de travail diminuée (à ce sujet, ATF 148 V 174 consid. 6.3 et les références ; 146 V 16 consid. 4.1 et ss et les références ; s'agissant de la jurisprudence plutôt restrictive du Tribunal fédéral concernant l'abattement en raison de limitations fonctionnelles des membres inférieurs et du rachis, cf . consid. 3.2 ci-dessus). Compte tenu de la nature des limitations fonctionnelles, un abattement de 10% pourrait tout au plus être accordé, ce qui conduirait à un taux d'invalidité de 10%, inférieur au seuil de 40% pour prétendre à une rente d'invalidité et inférieur à celui de 20% pour requérir des mesures de réadaptation ( cf . art. 17 LAI ; ATF 130 V 488) – que le recourant ne sollicite par ailleurs plus dans son acte de recours. L'application de l'art. 26 bis al. 3 RAI dans sa nouvelle teneur en vigueur dès le 1 er janvier 2024 aboutit au même résultat, ladite disposition prévoyant désormais une déduction forfaitaire de 10% lorsque le revenu avec invalidité est déterminé en fonction des valeurs statistiques, et l'exclusion de toute autre déduction supplémentaire. En conséquence, la décision de l'intimé du 16 avril 2024 est conforme au droit. Le cas échéant, il sera loisible au recourant de déposer une nouvelle demande de prestations dans l'hypothèse où la claudication neurogène observée en avril 2024 ne céderait pas au traitement prévu et entraînerait des limitations plus étendues que celles constatées dans le cadre de la présente procédure, ayant un impact sur sa capacité de travail.</w:t>
      </w:r>
    </w:p>
    <w:p>
      <w:r>
        <w:rPr>
          <w:b/>
        </w:rPr>
        <w:t>E. 6</w:t>
      </w:r>
    </w:p>
    <w:p>
      <w:r>
        <w:t>Au vu de ce qui précède, le recours sera rejeté et le recourant sera condamné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