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A/125/2022 vom 2. Februar 2022</w:t>
      </w:r>
    </w:p>
    <w:p>
      <w:r>
        <w:t>GE Cour de justice, 2022-02-02, FR</w:t>
      </w:r>
    </w:p>
    <w:p>
      <w:r>
        <w:rPr>
          <w:b/>
        </w:rPr>
        <w:t xml:space="preserve">Quelle: </w:t>
      </w:r>
      <w:r>
        <w:t>https://mcp.opencaselaw.ch/entscheid/ge_gerichte_A_125_2022</w:t>
      </w:r>
    </w:p>
    <w:p>
      <w:r>
        <w:t>FR: GE_GERICHTE A/125/2022 du 2 février 2022</w:t>
      </w:r>
    </w:p>
    <w:p>
      <w:r>
        <w:t>IT: GE_GERICHTE A/125/2022 del 2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![endif]&gt;![if&gt;</w:t>
      </w:r>
    </w:p>
    <w:p>
      <w:r>
        <w:rPr>
          <w:b/>
        </w:rPr>
        <w:t>E. 2.1</w:t>
      </w:r>
    </w:p>
    <w:p>
      <w:r>
        <w:t>À teneur de l’art. 1 al. 1 LAI, les dispositions de la LPGA s’appliquent à l’assurance-invalidité (ci-après : AI), à moins que la loi n’y déroge expressément.![endif]&gt;![if&gt;</w:t>
      </w:r>
    </w:p>
    <w:p>
      <w:r>
        <w:rPr>
          <w:b/>
        </w:rPr>
        <w:t>E. 2.2</w:t>
      </w:r>
    </w:p>
    <w:p>
      <w:r>
        <w:t>Le 1 er janvier 2021 est entrée en vigueur la modification du 21 juin 2019 de la LPGA. Dans la mesure où le recours a été interjeté postérieurement au 1 er janvier 2021, il est soumis au nouveau droit (cf. art. 82 a a contrario LPGA).![endif]&gt;![if&gt;</w:t>
      </w:r>
    </w:p>
    <w:p>
      <w:r>
        <w:rPr>
          <w:b/>
        </w:rPr>
        <w:t>E. 2.3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3</w:t>
      </w:r>
    </w:p>
    <w:p>
      <w:r>
        <w:t>Interjeté dans les forme et délai prévus par la loi, compte tenu de la suspension des délais du 18 décembre au 2 janvier (art. 38 al. 4 let. c LPGA et art. 89C let. c de la loi sur la procédure administrative du 12 septembre 1985 [LPA - E 5 10]), le recours est recevable.![endif]&gt;![if&gt;</w:t>
      </w:r>
    </w:p>
    <w:p>
      <w:r>
        <w:rPr>
          <w:b/>
        </w:rPr>
        <w:t>E. 4</w:t>
      </w:r>
    </w:p>
    <w:p>
      <w:r>
        <w:t>Le litige porte sur la question de savoir si la recourante a droit à une rente d’invalidité au-delà d’avril 2017.![endif]&gt;![if&gt;</w:t>
      </w:r>
    </w:p>
    <w:p>
      <w:r>
        <w:rPr>
          <w:b/>
        </w:rPr>
        <w:t>E. 5</w:t>
      </w:r>
    </w:p>
    <w:p>
      <w:r>
        <w:t>![endif]&gt;![if&gt;</w:t>
      </w:r>
    </w:p>
    <w:p>
      <w:r>
        <w:rPr>
          <w:b/>
        </w:rPr>
        <w:t>E. 5.1</w:t>
      </w:r>
    </w:p>
    <w:p>
      <w:r>
        <w:t>L'art. 17 al. 1 LPGA dispose que si le taux d'invalidité du bénéficiaire de la rente subit une modification notable, la rente est, d'office ou sur demande, révisée pour l'avenir, à savoir augmentée ou réduite en conséquence, ou encore supprimée.![endif]&gt;![if&gt; Selon la jurisprudence, l'art. 17 LPGA sur la révision d'une rente en cours s'applique également à la décision par laquelle une rente échelonnée dans le temps est accordée avec effet rétroactif, la date de la modification étant déterminée conformément à l'art. 88 a du règlement sur l'assurance-invalidité du 17 janvier 1961 (RAI - RS 831.201 ; ATF 131 V 164 consid. 2.2 p. 165 ; 125 V 413 consid. 2d ; arrêt du Tribunal fédéral 9C_134/2015 consid. 4.1 et les références). Aux termes de l'art. 88 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 bis RAI est applicable par analogie (al. 2). Selon l'art. 29 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5.2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 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![endif]&gt;![if&gt;</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 (ci-après : CIM) ou le DSM-IV (Diagnostic and Statistical Manual) (ATF 143 V 409 consid. 4.5.2 ; 141 V 281 consid. 2.1 et 2.1.1 ; 130 V 396 consid. 5.3 et 6).</w:t>
      </w:r>
    </w:p>
    <w:p>
      <w:r>
        <w:rPr>
          <w:b/>
        </w:rPr>
        <w:t>E. 8.2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8.4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 :![endif]&gt;![if&gt;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4.3.2).![endif]&gt;![if&gt; C.     Complexe « Contexte social » (consid. 4.3.3).![endif]&gt;![if&gt; -          Catégorie « Cohérence » (aspects du comportement ; consid. 4.4).![endif]&gt;![if&gt;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8.5</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![endif]&gt;![if&gt; Dans un arrêt du 11 juillet 2019 (ATF 145 V 215 ),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l’AI (consid. 5.3.3 et 6). Le caractère primaire ou secondaire d’un trouble de la dépendance n’est plus décisif pour en nier d’emblée toute pertinence sous l’angle du droit de l’AI (arrêt du Tribunal fédéral 9C_618/2019 précité consid. 8.1.1).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w:t>
      </w:r>
    </w:p>
    <w:p>
      <w:r>
        <w:rPr>
          <w:b/>
        </w:rPr>
        <w:t>E. 9</w:t>
      </w:r>
    </w:p>
    <w:p>
      <w:r>
        <w:t>![endif]&gt;![if&gt;</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9.3.1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9.3.2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4.3.1).![endif]&gt;![if&gt;</w:t>
      </w:r>
    </w:p>
    <w:p>
      <w:r>
        <w:rPr>
          <w:b/>
        </w:rPr>
        <w:t>E. 9.3.3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9.3.4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10</w:t>
      </w:r>
    </w:p>
    <w:p>
      <w:r>
        <w:t>![endif]&gt;![if&gt;</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5a).![endif]&gt;![if&gt;</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1d).![endif]&gt;![if&gt;</w:t>
      </w:r>
    </w:p>
    <w:p>
      <w:r>
        <w:rPr>
          <w:b/>
        </w:rPr>
        <w:t>E. 11</w:t>
      </w:r>
    </w:p>
    <w:p>
      <w:r>
        <w:t>![endif]&gt;![if&gt;</w:t>
      </w:r>
    </w:p>
    <w:p>
      <w:r>
        <w:rPr>
          <w:b/>
        </w:rPr>
        <w:t>E. 11.1</w:t>
      </w:r>
    </w:p>
    <w:p>
      <w:r>
        <w:t>En l’espèce, il n’est ni contesté, ni contestable, qu’à l’issue du délai d’attente d’un an, soit en décembre 2014, la recourante était totalement incapable d’exercer la moindre activité, raison pour laquelle le droit à une rente entière lui a été reconnu dès le 1 er décembre 2014.![endif]&gt;![if&gt; La décision attaquée retient, sur la base des avis du SMR rendus avant, respectivement après le rapport d’expertise du 6 septembre 2021, une capacité de travail nulle dans l’activité habituelle depuis l’accident du 12 décembre 2013, mais entière dans une activité adaptée depuis février 2017. Dite décision retient également qu’au vu de la comparaison des revenus effectuée en 2019 (à la suite du rapport d’expertise psychiatrique du 22 juillet 2019 du Dr D______, concluant à une capacité de travail entière dès février 2017), la recourante ne subissait qu’une perte de gain de CHF 5'505.- (soit 10%), justifiant ainsi la suppression de la rente entière au-delà du 30 avril 2017 dans la mesure où le rapport d’expertise pluridisciplinaire du 6 septembre 2021 confirmait les conclusions de la décision du 21 juillet 2020. La recourante conteste les conclusions des experts de F______, au motif que leurs appréciations – en particulier sur les plans rhumatologique et psychiatrique – seraient contredites, notamment par le Dr B______. Il convient tout d’abord d’examiner la valeur probante du rapport d’expertise pluridisciplinaire.</w:t>
      </w:r>
    </w:p>
    <w:p>
      <w:r>
        <w:rPr>
          <w:b/>
        </w:rPr>
        <w:t>E. 11.2</w:t>
      </w:r>
    </w:p>
    <w:p>
      <w:r>
        <w:t>Dans leur rapport du 6 septembre 2021, les experts ont retenu les diagnostics suivants :![endif]&gt;![if&gt; - avec incidence sur la capacité de travail (diagnostic orthopédique) : status postfracture complexe de la jambe droite en 2013, ostéosynthésée avec un défaut osseux sur le tibia ; -          sans incidence sur la capacité de travail :![endif]&gt;![if&gt; dysthymie (F34.1) ; troubles mentaux et troubles du comportement liés à l’utilisation de l’alcool, utilisation nocive pour la santé (F10.1) ; trouble dépressif récurrent, actuellement en rémission (F33.4) ; fibromyalgie ; « dysbalance » (déséquilibre) musculaire lombaire et déconditionnement global ; status postlombalgies mécaniques chroniques ; status postcervicalgies avec cervicarthrose ; excès pondéral (IMC 28.3 kg/m 2 ) ; tabagisme chronique ; probable dyslipidémie ; carence en vitamine D. Les experts indiquent partager, sur le plan rhumatologique, l’avis de la Dresse F______, selon lequel la recourante présente une fibromyalgie et des lombalgies. L’expert rhumatologue J______, qui a pris connaissance notamment de l’IRM cervicale du 17 décembre 2020, retient également un status postcervicalgies avec cervicarthrose, un excès pondéral, un déséquilibre musculaire lombaire et un déconditionnement global. Sur le plan orthopédique, l’expert H______ retient, à l’instar de l’expert rhumatologue, des rachialgies lombaires et cervicales et un déconditionnement musculaire global. Il ajoute que même si le status postfracture complexe de la jambe droite en 2013 se manifeste, le jour de l’examen, par des douleurs lors de la mobilisation de la jambe droite, celle-ci ne présente pas d’atrophie musculaire. Il précise qu’il n’a jamais été signalé de désagrégation de l’ostéosynthèse, ni de bris de vis qui seraient des signes de micro-instabilité. Aussi en conclut-il que la fracture est probablement solide depuis des années et que cette situation ne peut être à l’origine des plaintes de l’intéressée, quand bien même le status postfracture complexe influence la capacité de travail dans l’activité de vendeuse, ainsi que le profil d’effort. Sur le plan psychiatrique, l’expert I______ indique partager l’avis de l’expert D______ quant à l’absence de trouble dépressif incapacitant. Il ajoute que ce constat est pratiquement le même, avec un diagnostic de dysthymie qui semble plus en adéquation avec les fluctuations sur le plan dépressif, le maintien d’une capacité à faire face aux activités de la vie quotidienne et un certain nombre d’activités de loisirs et de distractions et ce, en l’absence de tout traitement antidépresseur médicamenteux (Valdoxan indétectable selon les analyses en laboratoire effectuées le 10 juin 2021). S’agissant d’un éventuel trouble somatoforme douloureux persistant (ci-après : TSD), l’expert indique que ce diagnostic lui paraît peu probable en l’absence de contexte de conflit émotionnel ou de problèmes psycho-sociaux suffisamment importants pour être considérés comme la cause essentielle du trouble. Le Dr I______ partage en revanche l’avis du Dr D______ quant à l’absence de critères jurisprudentiels de gravité d’un TSD, compte tenu, d’une part, de l’absence d’atteinte à la santé incapacitante sur le plan strictement psychiatrique, de comorbidité psychiatrique incapacitante et de trouble spécifique de la personnalité et, d’autre part, de l’existence de ressources internes non négligeables se manifestant dans divers domaines de la vie quotidienne et de l’absence de traitement médicamenteux antidépresseur. Au regard de ces éléments, les experts de F______ parviennent consensuellement à la conclusion que la capacité de travail de la recourante dans une activité adaptée à ses limitations fonctionnelles orthopédiques (travail en alternance des positions qui soit exempt d’échelle, d’échafaudage, de marche en terrain inégal, de flexion antérieure du rachis en porte-à-faux et d’agenouillement) et rhumatologiques (application des gestes d’épargne du rachis) a toujours été entière, hormis durant une période de six mois à compter de l’ostéosynthèse du 18 décembre 2013. Pour parvenir à cette conclusion, les experts ont effectué une analyse des indicateurs jurisprudentiels pertinents. Ce faisant, ils ont estimé d’un point de vue interdisciplinaire que le degré de gravité fonctionnelle de l’atteinte globale à la santé était faible. En particulier, s’agissant du traitement, la recourante ne prenait pas le traitement antidépresseur prescrit, que ce soit en 2013 ou au moment de l’expertise psychiatrique de 2019. Concernant l’axe « personnalité » (diagnostic de la personnalité, ressources personnelles), le comportement face à la maladie reflétait une amplification mais, pour le reste, le sens des réalités, la capacité de jugement, la capacité relationnelle, l’aptitude à nouer des contacts, la gestion de l’affect, la faculté à contrôler ses impulsions, l’estime de soi, la capacité de régression, l’intentionnalité et le dynamisme n’étaient pas altérés. Sur le plan des ressources personnelles – et d’éventuels facteurs de surcharge –, il n’y avait pas de limitations fonctionnelles (hormis celles, précitées, justifiées par les atteintes orthopédiques et rhumatologiques). S’agissant de l’axe « contexte social », la recourante était capable de faire face aux exigences de la vie quotidienne. Son isolement social n’était que partiel ; elle gardait des contacts avec des amis, des voisins et toutes les semaines, avec sa mère et ses sept frères et sœurs, avec qui elle entretenait de bonnes relations. En ce qui concernait l’aspect « cohérence », il n’y avait pas, d’un point de vue rhumatologique, de divergence entre les symptômes décrits et le comportement de la recourante en situation d’examen. Cependant, le fait qu’elle ait demandé à se lever une à deux fois durant l’entretien de 55 min – ce qui attestait de douleurs lombaires – contrastait avec un examen clinique n’ayant mis en évidence aucune pathologie lombaire persistante – tout au plus une raideur globale avec une dysbalance musculaire. Du point de vue orthopédique, la recourante était limitée selon le profil d’effort, mais elle n’avait pas d’activité depuis l’accident du 12 décembre 2013. Cette inactivité, ainsi que l’usage de cannes avaient provoqué une fonte musculaire un peu globale, responsable des rachialgies et probablement des douleurs articulaires décrites. D’un point de vue psychiatrique, il existait des divergences entre les plaintes relatives au moral et aux angoisses et le comportement en situation d’examen. Durant celui-ci, il y avait certes eu trois courts épisodes de pleurs spontanés à l’évocation des douleurs. Cependant, n’avaient été observés ni symptômes physiques en faveur d’un état anxieux, ni ralentissement psychomoteur, ni trouble de la concentration ou de l’attention, ni fatigabilité. En conclusion, les experts ont estimé de manière consensuelle que les indices jurisprudentiels de gravité pour les troubles diagnostiqués ne permettaient pas de conclure à une atteinte à la santé ayant une répercussion sur la capacité de travail dans une activité adaptée. La Cour de céans constate que le rapport d’expertise pluridisciplinaire du 6 septembre 2021 comporte une anamnèse complète et détaillée d’un point de vue médical, familial et personnel, une description du status sur la base d’entretiens/examens (avec chacun des experts), du dossier médical et des plaintes exprimées et, enfin, que ses conclusions sont cohérentes et motivées selon les indicateurs jurisprudentiels pertinents. Il convient donc d’en reconnaître la valeur probante.</w:t>
      </w:r>
    </w:p>
    <w:p>
      <w:r>
        <w:rPr>
          <w:b/>
        </w:rPr>
        <w:t>E. 11.3</w:t>
      </w:r>
    </w:p>
    <w:p>
      <w:r>
        <w:t>D’avis contraire, la recourante soutient en substance, en se référant au rapport du Dr L______, formellement daté du 4 mars 2022, mais postérieur à la consultation du 22 mars 2022, que les IRM lombaire et cervicale des 11 janvier et 22 mars 2022, confirmeraient la détérioration qu’elle a ressentie, en particulier au niveau cervical.![endif]&gt;![if&gt; Il sied de rappeler à titre liminaire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rapport du Dr L______ est postérieur à la décision attaquée. Il en va de même des IRM auxquelles ce rapport renvoie. Ainsi, pour autant que ces pièces objectivent une aggravation de l’état de santé de la recourante, cette modification n’est pertinente que si elle est antérieure à la décision litigieuse. Pour autant que cette première condition soit remplie, encore faut-il établir au moyen d’éléments médicaux objectifs que l’aggravation invoquée conduit à s’écarter de la capacité de travail telle qu’évaluée par les experts de F______, et que le Dr L______ ne se livre pas simplement à une appréciation différente (de celle des experts) de l’influence des troubles cervicaux et lombaires, pour l’essentiel identiques, sur la capacité de travail de sa patiente. Il ressort de l’annexe 1 au rapport d’expertise pluridisciplinaire du 6 septembre 2021 que tant l’IRM lombaire du 28 juin 2019 que l’IRM cervicale du 17 décembre 2020 ont été soumises à l’appréciation des experts. Alors que la première IRM citée retenait, en bref, une arthrose inter-apophysaire postérieure maquée étagée à caractère extrêmement inflammatoire de L2-L3 à L5-S1, prédominant en L3-L4 et la seconde, une discopathie inflammatoire C5-C6 et C6-C7 avec atteinte en miroir des plateaux vertébraux C5-C6 de type « modic mixte 1 et 2 et C6-C7 de type Modic 1 » et à un débord discal circonférentiel C5-C6 prédominant à gauche, susceptible d’affecter la racine C6 gauche, les experts n’en ont pas moins retenu que les diagnostics reflétant cet état (status postlombalgies mécaniques chroniques et status postcervicalgies avec cervicarthrose) étaient sans incidence sur la capacité de travail. L’expert orthopédiste H______ a précisé que le fait d’avoir marché avec des cannes pendant une année, ainsi que la cessation des activités professionnelles consécutive à l’accident de 2013 avaient abouti, pour le surplus, à un déconditionnement musculaire global, probablement responsable des douleurs du rachis, puisque les examens complémentaires n’avaient pas mis en évidence de lésions pouvant les expliquer (cf. pp. 52 et 54 du rapport d’expertise). La Cour de céans relève également que, dans le cadre de l’examen clinique auquel il a procédé, l’expert rhumatologue J______ n’a posé aucun diagnostic pour le rachis cervical et dorsal (compte tenu de leur aspect normal, d’une mobilité conservée et d’une insensibilité à la palpation) et qu’il a simplement retenu, pour le rachis lombaire, « une dysbalance » (déséquilibre) musculaire avec déconditionnement global sans radiculalgie. Les rapports d’IRM postérieurs à l’expertise concluent certes, au niveau lombaire, à une spondylodiscarthrose modérée, en aggravation par rapport à l’IRM du 28 juin 2019 et, au niveau cervical, à une spondylodiscarthrose marquée en C5-C6 et C6-C7, en aggravation par rapport à l’IRM du 17 décembre 2020. Cependant, aux dires du Dr K______, qui a réalisé ces deux IRM, ni l’une, ni l’autre ne fournit d’argument en faveur d’une hernie discale ou d’un conflit disco-radiculaire. Par ailleurs, force est de constater que, dans son rapport, le Dr L______ ne prend pas position au sujet de l’examen clinique de l’expert J______, pas plus qu’il n’indique avoir procédé, de son côté, à un examen du rachis cervical, dorsal et lombaire intégrant les mêmes critères d’analyse que ceux de l’expert (aspect, mobilité, palpation). En définitive, le Dr L______ conclut à la confirmation de la « détérioration ressentie par la patiente » en justifiant son appréciation au moyen d’une simple comparaison entre les documents d’imagerie antérieurs et postérieurs à l’expertise. Dans ces circonstances, il convient d’admettre, avec le SMR, que le Dr L______ rapporte certes que la recourante présente des douleurs, mais ne décrit aucun examen clinique objectif du rachis permettant de retenir une aggravation objective de son état de santé. Ce constat vaut à plus forte raison pour la période comprise entre la date de l’expertise pluridisciplinaire et celle de la décision litigieuse.</w:t>
      </w:r>
    </w:p>
    <w:p>
      <w:r>
        <w:rPr>
          <w:b/>
        </w:rPr>
        <w:t>E. 11.4</w:t>
      </w:r>
    </w:p>
    <w:p>
      <w:r>
        <w:t>Dans un second moyen, la recourante fait valoir que son psychiatre traitant, le Dr B______, a attesté par courrier du 11 janvier 2022 que son état de santé s’est également aggravé sur le plan psychique, ce que n’a pas confirmé ce médecin, lors de son audition du 15 mars 2022. Il s’est contenté d’alléguer que les experts n’avaient pas suffisamment tenu compte de la dépression, de l’anxiété et du désespoir de sa patiente, dont il estimait que l’état dépressif sévère, sans trouble psychotique, était suffisamment grave pour l’entraver dans son quotidien et l’empêcher d’exercer la moindre activité.![endif]&gt;![if&gt; Dès lors, l’allégation selon laquelle l’état de santé de la recourante se serait aggravé sur le plan psychique n’est étayée par aucun élément, si ce n’est une appréciation différente de l’état de fait médical soumis aux experts. Le Dr B______ ne détaille pas les troubles psychiques qu’il retient au moyen des critères diagnostiques d’une classification internationalement reconnue (telle que la CIM-10). Il n’examine pas davantage la sévérité et l’incidence des troubles au moyen des indicateurs jurisprudentiels déterminants. Enfin, il ne fait état d’aucun élément objectivement vérifiable et suffisamment important qui aurait été ignoré par l’expert psychiatre I______. Dans ces conditions, on ne saurait considérer comme établie une quelconque aggravation objective de l’état de santé psychique de la recourante entre la date de l’expertise pluridisciplinaire et celle de la décision attaquée.</w:t>
      </w:r>
    </w:p>
    <w:p>
      <w:r>
        <w:rPr>
          <w:b/>
        </w:rPr>
        <w:t>E. 11.5</w:t>
      </w:r>
    </w:p>
    <w:p>
      <w:r>
        <w:t>En l’absence d’éléments permettant de s’écarter des conclusions de l’expertise, il y a lieu de se rallier à celles-ci et de retenir comme établi, au degré de la vraisemblance prépondérante, que la recourante a recouvré dès février 2017, une pleine capacité de travail dans une activité adaptée. ![endif]&gt;![if&gt;</w:t>
      </w:r>
    </w:p>
    <w:p>
      <w:r>
        <w:rPr>
          <w:b/>
        </w:rPr>
        <w:t>E. 12</w:t>
      </w:r>
    </w:p>
    <w:p>
      <w:r>
        <w:t>Il reste à vérifier le calcul du degré d’invalidité conduisant à la suppression de la rente au 30 avril 2017. ![endif]&gt;![if&gt; Considérant que l’instruction complémentaire ordonnée par la Cour de céans dans son arrêt ATAS/1131/2020 du 26 novembre 2020 lui permettait de retenir les mêmes éléments de calcul que dans sa décision du 21 juillet 2020, l’intimé n’a pas procédé à une nouvelle évaluation du degré d’invalidité. Les revenus avec et sans invalidité ont été évalués sur la même tabelle statistique disponible en 2019 (ESS 2016, tableau TA1, tirage « skill level », secteur privé, ligne « total », pour une femme dans une activité de niveau 1). Ce choix n’apparaît pas critiquable, que ce soit pour le revenu d’invalide (eu égard à l’absence de reprise d’activité depuis l’accident de 2013) ou le revenu sans invalidité (compte tenu de l’absence de données salariales concrètes et de l’évolution identique, selon l’indice suisse des salaires [ISS] qu’ont connue les revenus à comparer jusqu’à la date de la décision litigieuse). Quant à l’abattement de 10% appliqué au revenu d’invalide pour tenir compte des limitations fonctionnelles, il ne prête pas non plus le flanc à la critique. Au demeurant, le point de savoir si d’autres critères d’abattement entrent en considération souffre de rester indécis, sachant qu’un abattement plus important (qui ne saurait excéder 25% ; ATF 135 V 297 consid. 5.3) permettrait d’aboutir, au mieux, à un degré d’invalidité de 25% dans le cas particulier, ce qui resterait insuffisant pour maintenir le droit à une rente d’invalidité au-delà du 30 avril 2017.</w:t>
      </w:r>
    </w:p>
    <w:p>
      <w:r>
        <w:rPr>
          <w:b/>
        </w:rPr>
        <w:t>E. 13</w:t>
      </w:r>
    </w:p>
    <w:p>
      <w:r>
        <w:t>Compte tenu ce qui précède, la décision de l’intimé de limiter la rente entière d’invalidité au 30 avril 2017, soit trois mois après que la recourante a recouvré une capacité de travail entière dans une activité adaptée (art. 88 a al. 1 RAI), apparaît bien fondée.![endif]&gt;![if&gt; Un émolument de CHF 200.- sera mis à la charge de la recourante, qui n’obtient pas gain de cause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