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A/1250/2023 vom 2. Mai 2023</w:t>
      </w:r>
    </w:p>
    <w:p>
      <w:r>
        <w:t>GE Cour de justice, 2023-05-02, FR</w:t>
      </w:r>
    </w:p>
    <w:p>
      <w:r>
        <w:rPr>
          <w:b/>
        </w:rPr>
        <w:t xml:space="preserve">Quelle: </w:t>
      </w:r>
      <w:r>
        <w:t>https://mcp.opencaselaw.ch/entscheid/ge_gerichte_A_1250_2023</w:t>
      </w:r>
    </w:p>
    <w:p>
      <w:r>
        <w:t>FR: GE_GERICHTE A/1250/2023 du 2 mai 2023</w:t>
      </w:r>
    </w:p>
    <w:p>
      <w:r>
        <w:t>IT: GE_GERICHTE A/1250/2023 del 2 maggio 2023</w:t>
      </w:r>
    </w:p>
    <w:p>
      <w:pPr>
        <w:pStyle w:val="Heading2"/>
      </w:pPr>
      <w:r>
        <w:t>Regeste</w:t>
      </w:r>
    </w:p>
    <w:p>
      <w:r>
        <w:t>MESURE DE CONTRAINTE(DROIT DES ÉTRANGERS);LÉGALITÉ;DÉTENTION(INCARCÉRATION) | Arrêt rendu dans le prolongement des | LEI.81; CEDH.3</w:t>
      </w:r>
    </w:p>
    <w:p>
      <w:pPr>
        <w:pStyle w:val="Heading2"/>
      </w:pPr>
      <w:r>
        <w:t>Erwägungen</w:t>
      </w:r>
    </w:p>
    <w:p>
      <w:r>
        <w:rPr>
          <w:b/>
        </w:rPr>
        <w:t>E. 1</w:t>
      </w:r>
    </w:p>
    <w:p>
      <w:r>
        <w:t>Le recours, adressé en temps utile au TAPI, a été à juste titre transmis par ce dernier à la chambre de céans pour raison de compétence, en application de l'art. 64 al. 2 de la loi sur la procédure administrative du 12 septembre 1985 [LPA ‑ E 5 10] ; cf. art. 132 de la loi sur l'organisation judiciaire du 26 septembre 2010 [LOJ ‑ E 2 05] et 62 al. 1 let. a LPA).![endif]&gt;![if&gt;</w:t>
      </w:r>
    </w:p>
    <w:p>
      <w:r>
        <w:rPr>
          <w:b/>
        </w:rPr>
        <w:t>E. 2</w:t>
      </w:r>
    </w:p>
    <w:p>
      <w:r>
        <w:t>Selon l'art. 10 al. 2 de la loi d'application de la loi fédérale sur les étrangers du 16 juin 1988 (LaLEtr - F 2 10), la chambre administrative doit statuer dans les dix jours qui suivent sa saisine. Ayant reçu le recours le 24 avril 2023 (cf. infra consid. 3) et statuant ce jour, elle respecte ce délai.![endif]&gt;![if&gt;</w:t>
      </w:r>
    </w:p>
    <w:p>
      <w:r>
        <w:rPr>
          <w:b/>
        </w:rPr>
        <w:t>E. 3</w:t>
      </w:r>
    </w:p>
    <w:p>
      <w:r>
        <w:t>L'intimé soutient que le recours a perdu son objet à double titre : d’une part, le recourant l’a retiré par courrier du 24 avril 2023 ; d’autre part, l’intéressé a fait l’objet d’un renvoi à destination de l’Allemagne le 27 avril 2023. ![endif]&gt;![if&gt;</w:t>
      </w:r>
    </w:p>
    <w:p>
      <w:r>
        <w:rPr>
          <w:b/>
        </w:rPr>
        <w:t>E. 3.1</w:t>
      </w:r>
    </w:p>
    <w:p>
      <w:r>
        <w:t>Il convient, en premier lieu, d’examiner si, comme le soutient l’intimé, le recourant a retiré son recours.![endif]&gt;![if&gt;</w:t>
      </w:r>
    </w:p>
    <w:p>
      <w:r>
        <w:rPr>
          <w:b/>
        </w:rPr>
        <w:t>E. 3.1.1</w:t>
      </w:r>
    </w:p>
    <w:p>
      <w:r>
        <w:t>Selon la jurisprudence, le retrait d'un moyen de droit doit intervenir de manière claire, expresse et inconditionnelle (ATF 141 IV 269 consid. 2.1 ; 119 V 36 consid. 1b et références citées). ![endif]&gt;![if&gt;</w:t>
      </w:r>
    </w:p>
    <w:p>
      <w:r>
        <w:rPr>
          <w:b/>
        </w:rPr>
        <w:t>E. 3.1.2</w:t>
      </w:r>
    </w:p>
    <w:p>
      <w:r>
        <w:t>En l’occurrence, la chambre de céans a été saisie le 21 avril 2023 d’une pétition, signée par le recourant et datée du « 24 avril 2023 » (sic). Cette pétition a été enregistrée par la chambre administrative comme un recours, ce dont les parties ont été dûment informées. Par pli du 24 avril 2023, la chambre administrative a interpellé le recourant sur la suite à donner à son recours, compte tenu du transfert prévu le lendemain à l’établissement Frambois. À ce moment-là, et contrairement à ce que soutient l’intimé, le seul recours pendant devant la chambre de céans était la pétition, reçue le 21 avril 2023, et considérée comme recours. Le recourant a répondu, le 24 avril 2023, qu’il retirait son « recours du 21 avril 2023 ». Ayant, entre-temps, été saisie d’une nouvelle demande de mise en liberté datée du 21 avril 2023, transmise par le TAPI pour raison de compétence le 24 avril 2023, la chambre de céans a enregistré un nouveau recours et imparti un nouveau délai de réponse à l’intimé. ![endif]&gt;![if&gt; Compte tenu de ces éléments, en particulier de la chronologie des différents actes de procédure, il convient de retenir que le retrait du recours portait uniquement sur la pétition reçue le 21 avril 2023. La chambre de céans reste ainsi compétente pour traiter la demande de mise en liberté formée par-devant le TAPI le 21 avril 2023, transmise pour raison de compétence à la chambre de céans le 24 avril 2023 et enregistrée comme recours contre le jugement du TAPI du 17 avril 2023.</w:t>
      </w:r>
    </w:p>
    <w:p>
      <w:r>
        <w:rPr>
          <w:b/>
        </w:rPr>
        <w:t>E. 3.2</w:t>
      </w:r>
    </w:p>
    <w:p>
      <w:r>
        <w:t>Reste à examiner si le renvoi du recourant en Allemagne le 27 avril 2023 a rendu son recours sans objet.![endif]&gt;![if&gt;</w:t>
      </w:r>
    </w:p>
    <w:p>
      <w:r>
        <w:rPr>
          <w:b/>
        </w:rPr>
        <w:t>E. 3.2.1</w:t>
      </w:r>
    </w:p>
    <w:p>
      <w:r>
        <w:t>Aux termes de l'art. 60 al. 1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La jurisprudence a toutefois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 7 février 2019 consid. 2).</w:t>
      </w:r>
    </w:p>
    <w:p>
      <w:r>
        <w:rPr>
          <w:b/>
        </w:rPr>
        <w:t>E. 3.2.2</w:t>
      </w:r>
    </w:p>
    <w:p>
      <w:r>
        <w:t>En l’occurrence, le recourant ne se trouve plus en détention administrative depuis le 27 avril 2023, son renvoi ayant été exécuté à cette date. Conformément à la jurisprudence précitée, et quand bien même le recourant n'aurait plus d'intérêt actuel et pratique au recours, il y a lieu d'entrer en matière, dès lors qu'il invoque de manière défendable une violation de l'art. 3 CEDH.![endif]&gt;![if&gt;</w:t>
      </w:r>
    </w:p>
    <w:p>
      <w:r>
        <w:rPr>
          <w:b/>
        </w:rPr>
        <w:t>E. 4</w:t>
      </w:r>
    </w:p>
    <w:p>
      <w:r>
        <w:t>Dans la mesure où le recourant a conclu à sa mise en liberté immédiate, il convient d'examiner en premier lieu si les conditions générales de la mise en détention administrative étaient données.![endif]&gt;![if&gt;</w:t>
      </w:r>
    </w:p>
    <w:p>
      <w:r>
        <w:rPr>
          <w:b/>
        </w:rPr>
        <w:t>E. 4.1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Selon l'art. 28 par. 2 du Règlement (UE) n° 604/2013 (ou Règlement Dublin III du 26 juin 2013 ;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Règlement. La durée maximale de la détention en vue du renvoi dans le cadre de la procédure Dublin s’élève à six semaines au plus à compter de la date à laquelle a été ordonnée la détention (SEM, Directives et commentaire, Domaine des étrangers, 2013, état au 1 er janvier 2021, ch. 9.9.3). À teneur de l'art. 76 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 la détention est proportionnée (let. b) ; d'autres mesures moins coercitives ne peuvent être appliquées de manière efficace (art. 28 par. 2 du Règlement : let. c). Le fait que l’étranger ait été condamné pour crime figure parmi les éléments concrets faisant craindre qu’il entend se soustraire à l’exécution du renvoi (art. 76 a al. 2 let. h LEI).</w:t>
      </w:r>
    </w:p>
    <w:p>
      <w:r>
        <w:rPr>
          <w:b/>
        </w:rPr>
        <w:t>E. 4.2</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 À teneur de l’art. 76 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rPr>
          <w:b/>
        </w:rPr>
        <w:t>E. 4.3</w:t>
      </w:r>
    </w:p>
    <w:p>
      <w:r>
        <w:t>En l’espèce, une décision d’expulsion pénale a été rendue le 24 mars 2023 pour une durée de cinq ans, le recourant ayant été condamné pour vol, soit un crime au sens de l’art. 10 al. 2 CP. Les conditions d’une détention administrative fondée sur l'art. 76 a al. 2 let. h ch. 1 LEI étaient donc réunies.![endif]&gt;![if&gt; S’agissant de la proportionnalité de la mesure, et ainsi que l’a retenu le TAPI, l’assurance du départ du recourant répondait à un intérêt public certain et toute autre mesure moins incisive que la détention administrative aurait été vaine pour assurer sa présence au moment où il devait être renvoyé. Il ne disposait en effet d’aucun lieu de résidence fixe en Suisse et il avait démontré, par son comportement, qu’il était peu enclin à respecter l’ordre juridique suisse. Quant à la durée de la détention, elle respectait le cadre fixé par l’art. 76 a al. 3 LEI et était adéquate pour assurer son renvoi, qui a d’ailleurs été effectué le 27 avril 2023. La détention respectait ainsi le principe de proportionnalité, ce que le recourant ne conteste pas.</w:t>
      </w:r>
    </w:p>
    <w:p>
      <w:r>
        <w:rPr>
          <w:b/>
        </w:rPr>
        <w:t>E. 5</w:t>
      </w:r>
    </w:p>
    <w:p>
      <w:r>
        <w:t>Le recourant soutient que ses conditions de détention violaient les art. 81 LEI, 3 CEDH ainsi que le CEDA.![endif]&gt;![if&gt;</w:t>
      </w:r>
    </w:p>
    <w:p>
      <w:r>
        <w:rPr>
          <w:b/>
        </w:rPr>
        <w:t>E. 5.1</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GE).![endif]&gt;![if&gt; Selon le Tribunal fédéral, les garanties de la CEDH relatives aux conditions de détention n'offrent pas une protection plus étendue que celles garanties par la Constitution fédérale (ATF 145 I 318 consid. 2.1 ; 143 I 241 consid. 3.4).</w:t>
      </w:r>
    </w:p>
    <w:p>
      <w:r>
        <w:rPr>
          <w:b/>
        </w:rPr>
        <w:t>E. 5.2</w:t>
      </w:r>
    </w:p>
    <w:p>
      <w:r>
        <w:t>La Cour européenne des droits de l'Homme (ci-après : CourEDH) a admis à de nombreuses reprises que les conditions de détention d'un individu pouvaient représenter un traitement dégradant voire inhumain, y compris en matière de détention administrative (voir p. ex. ACEDH M.S.S. c. Belgique et Grèce du 21 janvier 2011, req. 30696/09, § 230-234 ainsi que § 222 pour la jurisprudence antérieure de la CourEDH). La CourEDH a toujours souligné que, pour relever de l’art. 3 CEDH,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(ACEDH Kudła c. Pologne, Grande Chambre, Recueil 2000‑XI , req. 30210/96, § 92-94 ; ACEDH Popov c. Russie du 13 juillet 2006, req. 26853/04, § 208). L'accès à l'air libre, notamment sous forme de promenade, doit être pris en compte (ACEDH Zuyev c. Russie du 19 février 2013, req. 16262/05, § 58).![endif]&gt;![if&gt; Lorsqu’on évalue les conditions de détention, il y a lieu de tenir compte de leurs effets cumulatifs ainsi que des allégations spécifiques du requérant (ACEDH Dougoz c. Grèce, Recueil 2001‑II, req. 40907/98, § 46). La durée de détention d’une personne dans des conditions particulières doit elle aussi être prise en considération (ACEDH Géorgie c. Russie du 21 janvier 2021, Grande Chambre, req. 38263/08, § 240 ; Alver c. Estonie du 8 novembre 2005, req. 64812/01, § 50).</w:t>
      </w:r>
    </w:p>
    <w:p>
      <w:r>
        <w:rPr>
          <w:b/>
        </w:rPr>
        <w:t>E. 5.3</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ce comité est habilité à examiner le traitement des détenus dans les États contractants (art. 2) ; après chaque visite, il établit un rapport sur les faits constatés à l'occasion de celle-ci et transmet son rapport qui contient les recommandations qu'il juge nécessaires (art. 10 ch. 1).![endif]&gt;![if&gt;</w:t>
      </w:r>
    </w:p>
    <w:p>
      <w:r>
        <w:rPr>
          <w:b/>
        </w:rPr>
        <w:t>E. 5.4</w:t>
      </w:r>
    </w:p>
    <w:p>
      <w:r>
        <w:t>Le Comité des Ministres du Conseil de l'Europe, en application de l'art. 15 (b) du Statut du Conseil de l'Europe (RS 0.192.030), a adopté le 11 janvier 2006 la Recommandation Rec(2006)2 sur les Règles pénitentiaires européennes (ci-après : RPE), lesquelles s'inscrivent dans la lignée des précédentes recommandations établies dès 1989. Elles ont été révisées et modifiées par le Comité des ministres du Conseil de l'Europe le 1 er juillet 2020.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 assurer la propreté (art. 21) ;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27.1).![endif]&gt;![if&gt;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A titre d'exemple, le CPT considère comme étant souhaitable pour une cellule individuelle une taille de 9 à 10 m 2 ). S'agissant de la literie, le CPT précise que celle-ci comprend tout l'équipement standard d'un lit (sommier, matelas et couverture). Les RPE – et a fortiori leur commentaire – ont le caractère de simples directives à l'intention des Etats membres du Conseil de l'Europe ; cependant, en tant que reflet des traditions juridiques communes à ces États, le Tribunal fédéral en tient compte de longue date dans la concrétisation de la liberté personnelle et des autres droits fondamentaux garantis par la Cst. et par la CEDH (ATF 123 I 112 consid. 4d/cc et la jurisprudence citée ; en dernier lieu: ATF 140 I 125 consid. 3.2 ; 139 IV 41 consid. 3.2). On parle à leur propos de « code de la détention pénitentiaire » (PIQUEREZ/MACALUSO, Procédure pénale suisse, 3e éd. 2011, n. 1265) ou de « soft law », néanmoins relativement contraignante pour les autorités.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5.5</w:t>
      </w:r>
    </w:p>
    <w:p>
      <w:r>
        <w:t>Selon l'art. 80 al. 4 LEI, l'autorité judiciaire qui examine la décision de détention de maintien ou de levée tient compte de la situation familiale de la personne détenue et des conditions d'exécution de la détention.![endif]&gt;![if&gt; 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(al. 4).</w:t>
      </w:r>
    </w:p>
    <w:p>
      <w:r>
        <w:rPr>
          <w:b/>
        </w:rPr>
        <w:t>E. 5.6</w:t>
      </w:r>
    </w:p>
    <w:p>
      <w:r>
        <w:t>La Suisse a instauré une commission nationale de prévention de la torture (ci‑après : CNPT ; art. 1 al. 1 de la loi fédérale sur la Commission de prévention de la torture du 20 mars 2009 – LCPT – RS 150.1). Parmi d'autres missions, la CNPT examine régulièrement la situation des personnes qui sont privées de liberté et inspecte régulièrement les lieux où ces personnes se trouvent ou pourraient se trouver, et formule des recommandations à l’intention des autorités compétentes afin d’améliorer le traitement et la situation des personnes privées de liberté et de prévenir la torture et autres peines ou traitements cruels, inhumains ou dégradants (art. 2 let. a et b LCPT).![endif]&gt;![if&gt; La CNPT s’acquitte de ses tâches en toute indépendance (art. 4 al. 1 LCPT). Elle a accès à tous les lieux de privation de liberté ainsi qu’à leurs installations et équipements, et peut visiter ces lieux sans préavis (art. 8 al. 2 LCPT). Les autorités compétentes examinent les propositions que la commission leur a adressées et émettent un avis sur leur réalisation (art. 9 al. 2 LCPT). Les trois dernières visites de Favra documentées sur le site de la CNPT (https://www.nkvf.admin.ch/nkvf/fr/home/publikationen/berichte-der-kontroll besuche/nach-kanton.html &gt; GE) ont eu lieu les 13 février 2017, 28 octobre 2019 et 17 décembre 2020. Dans ses lettres au Conseil d'État consécutives aux deux dernières visites, la CNPT a constaté que l'infrastructure existante de Favra et le régime de détention n'étaient pas adaptés à la détention administrative ; la CNPT a enjoint aux autorités genevoises de ne plus utiliser l’établissement de Favra pour la détention administrative et à transférer les détenus administratifs dans un établissement destiné à cet effet (ibid.). Dans sa réponse à la CNPT consécutive à la visite de 2019, le conseiller d'État a indiqué qu'en cas de vote favorable du parlement sur le projet de nouvelle prison des Dardelles, la Brenaz pourrait être convertie en établissement de détention administrative et Favra serait abandonné ; toutefois, dans la réponse consécutive à la visite de 2020, il est seulement question – dès lors que le Grand Conseil genevois avait entretemps refusé le projet des Dardelles –, outre les problématiques liées à la pandémie de Covid-19, de l'office cantonal de la détention a initié dans le courant de l'année 2020 des démarches en vue de la réalisation de travaux destinés à remédier à la situation en matière d'accès aux espaces extérieurs – une demande d’autorisation de construire serait déposée au printemps 2021 et les travaux devraient être achevés durant la première partie de l'année 2022 au plus tard (ibid.).</w:t>
      </w:r>
    </w:p>
    <w:p>
      <w:r>
        <w:rPr>
          <w:b/>
        </w:rPr>
        <w:t>E. 5.7</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CEDA.![endif]&gt;![if&gt;</w:t>
      </w:r>
    </w:p>
    <w:p>
      <w:r>
        <w:rPr>
          <w:b/>
        </w:rPr>
        <w:t>E. 5.8</w:t>
      </w:r>
    </w:p>
    <w:p>
      <w:r>
        <w:t>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2).![endif]&gt;![if&gt; Conformément à l’art. 18 CEDA, dès que possible et au plus tard le quatrième jour qui suit son entrée dans l’établissement, le détenu passe une visite médicale (al. 1). L’établissement organise un service médical qui pourvoit aux soins ambulatoires et aux soins d’urgence (al. 2). Des occupations et activités, promenade, correspondance et visites sont possibles, selon les modalités définies aux art. 19 ss CEDA.</w:t>
      </w:r>
    </w:p>
    <w:p>
      <w:r>
        <w:rPr>
          <w:b/>
        </w:rPr>
        <w:t>E. 5.9</w:t>
      </w:r>
    </w:p>
    <w:p>
      <w:r>
        <w:t>Selon l’art. 1 RFavra, l'établissement de détention administrative de Favra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RFavra, l’art. 7 reprenant les principes fixés à l’art. 14 CEDA. L’assistance médicale, les activités et la communication au sein de l’établissement sont réglés aux art. 20 ss RFavra.![endif]&gt;![if&gt; Selon l’art. 20 RFavra, dès que possible, mais au plus tard le quatrième jour qui suit son entrée dans l'établissement, la personne détenue passe une visite médicale (al. 1), l'établissement organise un service médical qui pourvoit aux soins ambulatoires et aux soins d'urgence (al. 2), le service médical consiste en une unité médicale mobile, laquelle se compose d'un médecin et de personnel infirmier (al. 3), en principe, la personne détenue est prise en charge par l’équipe médicale, rattachée aux Hôpitaux universitaires de Genève. La personne détenue a le droit de contacter son médecin personnel, à savoir celui qui s’occupait d'elle avant sa mise en détention, pour autant qu’elle puisse invoquer des circonstances exceptionnelles et qu’elle puisse apporter la preuve qu’elle a les moyens de le rémunérer (al. 4). Le directeur de l’établissement, ou son suppléant en son absence, peut inviter le service médical à soumettre une personne détenue à un contrôle médical, dans l'intérêt de celle-ci, des autres personnes détenues et du personnel de l'établissement (al. 5). Les personnes détenues qui sont malades ou blessées doivent à bref délai s’annoncer au service médical afin de recevoir le traitement approprié (al. 6). Les médicaments ne peuvent être conservés en cellule, mais sont préparés par le personnel médical (al. 7). Le directeur de l’établissement, son suppléant, ainsi que tout membre du personnel pénitentiaire, peut inviter le service médical à soumettre une personne détenue à l'examen d'un psychiatre ou d'un psychologue (al. 8). En cas d’urgence, le médecin est appelé et, en cas de nécessité, la personne détenue est transférée dans un établissement hospitalier, en principe à l'unité cellulaire hospitalière des Hôpitaux universitaires de Genève ou, si sa pathologie l'exige, à l'unité hospitalière de psychiatrie pénitentiaire de Curabilis. Toutefois, la personne détenue doit être séparée des détenus en détention provisoire ou condamnés (al. 9). Des promenades et exercices physiques, visites ainsi qu’une assistance spirituelle et sociale sont notamment possibles (art. 33 ss RFavra). Les art. 44 et suivants RFavra traitent des fouilles, procédures disciplinaires et voie de recours.</w:t>
      </w:r>
    </w:p>
    <w:p>
      <w:r>
        <w:rPr>
          <w:b/>
        </w:rPr>
        <w:t>E. 5.10</w:t>
      </w:r>
    </w:p>
    <w:p>
      <w:r>
        <w:t>La légalité de la détention administrative au sein de l’établissement de Favra a été régulièrement confirmée par la chambre administrative, la dernière fois le 16 mars 2023 ( ATA/268/2023 concernant un détenu qui avait alors déjà entamé sa grève de la faim et indiquait vivre très mal sa détention).![endif]&gt;![if&gt; Cela étant, Favra s’est vu impartir par la chambre de céans un délai au 16 janvier 2023 pour installer une connexion internet ( ATA/1218/2022 du 6 décembre 2022), étant rappelé qu’un tel accès pouvait être limité ( ATA/83/2023 du 26 janvier 2023 consid. 9.4). Cet arrêt faisait suite à un arrêt récent du Tribunal fédéral, destiné à publication, dans lequel ce dernier avait analysé les conditions de détention administrative d’une personne étrangère détenue dans l’établissement de Moutier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Dans l' ATA/1218/2022 , la chambre de céans a retenu qu’à Favra,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Moutier, qui subissaient un enfermement en cellule dix-huit heures par jour (consid. 8f).</w:t>
      </w:r>
    </w:p>
    <w:p>
      <w:r>
        <w:rPr>
          <w:b/>
        </w:rPr>
        <w:t>E. 5.11</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consid. 8a ; arrêts du Tribunal fédéral 2C_765/2022 précité consid. 6.1 ; 2C_662/2022 du 8 septembre 2022 consid. 3.3 et les références citées ; ATA/1218/2022 précité consid. 8e).![endif]&gt;![if&gt;</w:t>
      </w:r>
    </w:p>
    <w:p>
      <w:r>
        <w:rPr>
          <w:b/>
        </w:rPr>
        <w:t>E. 5.12</w:t>
      </w:r>
    </w:p>
    <w:p>
      <w:r>
        <w:t>En l'espèce, le TAPI a retenu que les problèmes dont se plaignait le recourant ne pouvaient conduire à sa mise en liberté. Tout d’abord, la difficulté à supporter l’enfermement, inhérente à l’exécution d’une mesure de privation de liberté telle que la détention administrative, ne justifiait pas, en soi, qu’il y soit mis fin. Quant aux évènements survenus le 8 avril 2023 au sein de l’établissement de Favra, qu’on ne pouvait que déplorer, si l’on pouvait comprendre que l’intéressé ait été choqué et traumatisé par ces derniers, il devait également être relevé que le recourant pouvait bénéficier d’un soutien médical au sein de son lieu de détention administrative. En particulier, des somnifères pouvaient lui être prescrits pour ses problèmes de sommeil. Enfin, il ne fallait pas perdre de vue que l’objectif de sa mise en détention administrative était de permettre l’exécution de son expulsion. En aucun cas, la décision litigieuse de le placer en détention, dans ces conditions, ne contrevenait par elle-même au droit à la vie garanti par l’art. 2 § 1 et 3 CEDH. Dans ces conditions et dans les présentes circonstances, soit en particulier l’imminence de son renvoi et la nécessité des autorités suisses de s’assurer de son départ, l’intéressée ne pouvait se prévaloir de la pénibilité de sa détention administrative, notamment sur le plan psychique, pour s’opposer à celle-ci et solliciter sa mise en liberté. ![endif]&gt;![if&gt; Ce raisonnement ne prête pas le flanc à la critique. Quand bien même la CNPT enjoint depuis 2019 aux autorités genevoises de ne plus utiliser Favra comme établissement de détention administrative, la chambre de céans a admis encore récemment la légalité de la détention administrative au sein de cet établissement. S'agissant des conditions de détention proprement dites, à l'évidence Favra ne peut être comparé à certains lieux de détention décrits dans certains arrêts de la CourEDH. Les constats effectués lors du transport sur place montrent que l'établissement est globalement propre, l'hygiène des détenus y est garantie, ainsi que les soins médicaux même en l'absence d'une équipe médicale à demeure. Certaines conditions posent néanmoins problème. La cellule forte apparaît trop exiguë, pas assez lumineuse et le détenu n'y a pas accès à l'eau courante ; cela étant, ce problème n'est pas directement pertinent en l'espèce, le recourant ne se plaignant pas d'y avoir été enfermé. Le second problème concerne l'installation seulement très récente – voire postérieure au jugement attaqué – d'un accès au World Wide Web, alors que la chambre de céans avait fixé un délai au 16 janvier 2023 pour ce faire, sur la base de la jurisprudence du Tribunal fédéral. Cet accès, de même que celui à l'application Skype, se fait dans la même pièce que les parloirs avec les avocats et les familles ainsi que les fouilles corporelles, ce qui diminue considérablement les possibilités pour les détenus d'y avoir accès. En outre, pour l'accès au World Wide Web et à Skype, mais aussi au programme d'activités occupationnelles, les détenus sont visiblement mal informés malgré la pose d'affichettes, ce qui accentue le problème. Enfin, l'accès à l'air libre pourrait être amélioré. L'aménagement décrit par le Conseil d'État dans sa dernière prise de position auprès de la CNPT ne semble pas avoir avancé, un an après la date prévue. La promenade de 165 m 2 est certes accessible une grande partie de la journée, mais elle est grillagée de toutes parts. Quant à la petite prairie à l'air libre décrite devant le TAPI comme terrain de football, la chambre de céans prend acte de ce que la direction de l'établissement s'engage à la mettre à disposition des détenus sur simple demande ; il semble toutefois que tel n’ait pas été le cas jusqu’à présent. Les carences décrites ci-avant sont certes à déplorer. La chambre de céans considère toutefois que, prises individuellement, elles ne rendent pas les conditions de détention illicites – sauf peut-être le défaut d'accès au Web, au vu de la jurisprudence du Tribunal fédéral, mais l'OCD vient d'y remédier (cf. ATA/450/023 et ATA/451/023 du 28 avril 2023). Il est vrai qu’en fonction de la durée du séjour d'un détenu, de telles carences, prises dans leur ensemble, peuvent s'avérer problématiques. En effet, des conditions qui peuvent être acceptables pendant quelques jours ne le sont plus forcément lorsqu'un détenu passe une année dans l'établissement. À cet égard, force est de constater que si Favra était il y a quelques années avant tout utilisé pour des détentions administratives de courte durée, lesdits séjours y sont désormais parfois beaucoup plus longs. Or, dans le cas présent, au moment où il a été transféré à Frambois le 25 avril 2023, le recourant était détenu à Favra depuis le 24 mars 2023, soit environ un mois. On ne saurait ainsi qualifier son séjour à Favra comme ayant été de longue durée. Il convient certes de prendre en compte le fait que le décès d’un co-détenu l’a fortement ébranlé. Or, comme relevé ci-avant, l’établissement de Favra bénéficie d’un service médical approprié. Les personnes détenues peuvent, en particulier, s’annoncer au service médical afin de recevoir le traitement approprié ainsi qu’au directeur de l’établissement ou son suppléant, étant précisé que le personnel médical s’y rend chaque semaine. Le recourant se plaint certes du retard dans sa prise en charge suite au décès de son co-détenu. Il ne démontre toutefois pas avoir formé une demande de suivi auprès du service médical, ni que celle-ci n’aurait pas été traitée dans les délais. C’est le lieu de rappeler que, conformément au RFavra, l’intéressé avait tout loisir de s’annoncer, en parallèle, au directeur de l’établissement, ce qu’il ne prétend pas non plus avoir fait. Ainsi, au vu des circonstances particulières du cas d’espèce, notamment l’imminence de son départ et la nécessité pour les autorités suisses de s’assurer de son départ, les conditions de sa détention administrative ne sauraient être considérées comme illicites. Il s'ensuit que le jugement attaqué est conforme au droit. Le recours sera dès lors rejeté.</w:t>
      </w:r>
    </w:p>
    <w:p>
      <w:r>
        <w:rPr>
          <w:b/>
        </w:rPr>
        <w:t>E. 6</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