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A/1236/2013 vom 27. Oktober 2015</w:t>
      </w:r>
    </w:p>
    <w:p>
      <w:r>
        <w:t>GE Cour de justice, 2015-10-27, FR</w:t>
      </w:r>
    </w:p>
    <w:p>
      <w:r>
        <w:rPr>
          <w:b/>
        </w:rPr>
        <w:t xml:space="preserve">Quelle: </w:t>
      </w:r>
      <w:r>
        <w:t>https://mcp.opencaselaw.ch/entscheid/ge_gerichte_A_1236_2013</w:t>
      </w:r>
    </w:p>
    <w:p>
      <w:r>
        <w:t>FR: GE_GERICHTE A/1236/2013 du 27 octobre 2015</w:t>
      </w:r>
    </w:p>
    <w:p>
      <w:r>
        <w:t>IT: GE_GERICHTE A/1236/2013 del 27 ottobre 2015</w:t>
      </w:r>
    </w:p>
    <w:p>
      <w:pPr>
        <w:pStyle w:val="Heading2"/>
      </w:pPr>
      <w:r>
        <w:t>Regeste</w:t>
      </w:r>
    </w:p>
    <w:p>
      <w:r>
        <w:t>IMPÔT CANTONAL ET COMMUNAL ; IMPÔT SUR LA FORTUNE ; DÉDUCTION(SENS GÉNÉRAL) ; ACTIVITÉ LUCRATIVE INDÉPENDANTE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 | Cst.5.al1; Cst.127.al1; LIPP.19; LIPP.19.al1; LIPP.19.al3; LIPP.19.al5; LIFD.18.al1; LIFD.18.al4; LIPP.30; LIFD.27; LHID.2.al1.leta; LHID.13; LIPP.46; LIPP.55; LIPP.58.al2; LIPP.15.al1</w:t>
      </w:r>
    </w:p>
    <w:p>
      <w:pPr>
        <w:pStyle w:val="Heading2"/>
      </w:pPr>
      <w:r>
        <w:t>Erwägungen</w:t>
      </w:r>
    </w:p>
    <w:p>
      <w:r>
        <w:rPr>
          <w:b/>
        </w:rPr>
        <w:t>E. 2</w:t>
      </w:r>
    </w:p>
    <w:p>
      <w:r>
        <w:t>ème section dans la cause ADMINISTRATION FISCALE CANTONALE contre Madame A______et Monsieur B______ représentés par la Fiduciaire Chavaz SA, mandataire _________ Recours contre le jugement du Tribunal administratif de première instance du 13 juin 2014 ( JTAPI/650/2014 ) EN FAIT 1) Le litige concerne l'impôt cantonal et communal (ci-après : ICC) 2011 de Madame A______ et Monsieur B______. 2) Monsieur B______ exerce la profession d'avocat à titre indépendant et est inscrit depuis plus de dix ans auprès d'une caisse de compensation en cette qualité. 3) Dans leur déclaration fiscale 2011, les contribuables ont déduit un montant de CHF 213'362.- sous la rubrique 51.60 « déduction sur la fortune commerciale investie - contribuable ». Le capital était de CHF 426'456.64 selon le bilan de l'exercice et le compte de pertes et profits de l'année 2011 qui comportait un poste « salaires » de CHF 445'250.-. 4) Le 11 février 2013, l'administration fiscale cantonale (ci-après : l'AFC-GE) a notifié la décision de taxation ICC 2011 aux contribuables, sans prendre en compte la déduction sur la fortune déclarée. 5) Le 13 février 2013, les contribuables, représentés par leur mandataire, ont élevé réclamation contre la taxation ICC 2011, demandant que la déduction soit prise en compte. 6) Le 28 mars 2013, l'AFC-GE a rejeté la réclamation, l'art. 58 al. 2 de la loi sur l'imposition des personnes physiques du 27 septembre 2009 (LIPP - D 3 08) qui concernait la déduction, excluait clairement du cercle des bénéficiaires les personnes physiques exerçant, à titre indépendant, une profession libérale. 7) Le 12 avril 2013, les contribuables ont interjeté recours contre la décision sur réclamation de l'AFC-GE auprès du Tribunal administratif de première instance (ci-après : le TAPI), concluant à l'admission de la déduction. Le contribuable exerçait une activité lucrative indépendante, employant environ cinq personnes, la déduction devait lui être accordée. L'interprétation faite par l'AFC-GE de l'art. 58 al. 2 LIPP n'était pas soutenable. 8) Le 5 juillet 2013, l'AFC-GE a répondu au recours, en concluant à son rejet. La profession libérale pouvait être distinguée des activités indépendantes relevant de l'exploitation commerciale, artisanale ou industrielle et n'était pas citée dans la disposition légale concernée. 9) Le 13 juin 2014, le TAPI a admis le recours et renvoyé le dossier à l'AFC-GE pour établissement d'une nouvelle décision de taxation tenant compte de la déduction déclarée. L'art. 58 al. 2 LIPP s'appliquait également aux professions libérales. Il ressortait des travaux préparatoires que cette déduction s'appliquait à toute forme d'entreprise ou de sociétés de personnes engendrant des places de travail. 10) Le 14 juillet 2014, l'AFC-GE a interjeté recours auprès de la chambre administrative de la Cour de justice (ci-après : la chambre administrative) contre le jugement du TAPI en concluant à son annulation. Les professions libérales, telles celles d'avocats, n'étaient pas expressément mentionnées à l'art. 58 al. 2 LIPP. Toutes les formes d'interprétation de cette disposition aboutissaient à exclure les professions libérales du champ d'application de cet article. En outre, les déductions avaient un caractère exceptionnel et devaient être expressément prévues par des dispositions interprétées de manière restrictive. Le TAPI avait procédé à une interprétation extensive, alors qu'il y avait un silence qualifié de la loi. 11) Le 23 juillet 2014, les contribuables ont déclaré s'en remettre à justice. 12) Le 21 juillet 2014, le TAPI a déposé son dossier sans faire d'observations. 13) Le 30 septembre 2014, la chambre administrative a rendu deux arrêts dans des causes similaires ( ATA/764/2014 et ATA/765/2014 ) dans lesquels elle invitait notamment l'AFC-GE à accorder la déduction au cas par cas, au regard de l'ensemble des circonstances, aux catégories professionnelles et aux entités susceptibles d'en bénéficier sans s'arrêter aux dénominations classiques utilisées, mais en examinant les formes d'activités considérées et leur impact sur l'économie. 14) Le 10 février 2015, l'AFC-GE a déposé un mémoire complémentaire. Faute de critères clairs énoncés par la chambre administrative dans les arrêts du 30 septembre 2014, la mise en application demandée n'était pas réalisable. L'art. 58 al. 2 LIPP posait un réel problème de compatibilité avec la loi fédérale sur l'harmonisation des impôts directs des cantons et des communes du 14 décembre 1990 (LHID - RS 642.14) sur deux aspects. D'une part la LHID ne prévoyait pas de déduction « générale » telle que celle prévue par l'art. 58 al. 2 LIPP et, d'autre part, la LHID prévoyait le principe d'universalité de l'impôt sur la fortune. Pour ces deux motifs, l'art. 58 al. 2 LIPP était incompatible avec la LHID. 15) Le 13 février 2015, les contribuables ont déclaré qu'ils n'entendaient pas se déterminer. 16) Le 25 février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trait à l'application de la déduction sociale de l'art. 58 al. 2 LIPP à la fortune du contribuable, dans le cadre de la taxation ICC 2011. 3) À teneur de l'art. 58 al. 2 LIPP, il est accordé une déduction égale à la moitié des éléments de fortune investis dans l'exploitation commerciale, artisanale ou industrielle du contribuable, au prorata de sa participation, mais au maximum CHF 500'000.-. 4) Les considérants suivants ressortent des arrêts rendus récemment par la chambre administrative dans des causes similaires ( ATA/764/2014 et ATA/765/2014 précités).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 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 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 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 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 Quant à l'art. 19 al. 1 LIPP, il a repris la teneur de l'ancien art. 3 de la loi sur l'imposition des personnes physiques - impôt sur le revenu, revenu imposable, du 22 septembre 2000 (aLIPP-IV - D 3 14), dont le texte a lui-même été calqué sur celui de l'art. 18 al. 1 LIFD (MGC 2000 2/I 387). 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 ATA/510/2004 du 8 juin 2004 ; Xavier OBERSON, Droit fiscal suisse, 4ème éd., 2012, p. 172 n. 275). 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 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 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 Au titre des déductions sociales, l'art. 58 al. 2 LIPP accorde notamment une déduction égale à la moitié des éléments de fortune investis dans l'exploitation commerciale, artisanale ou industrielle du contribuable, au prorata de sa participation, mais au maximum CHF 500'000.-. 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 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 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 Le législateur a toutefois renoncé à introduire une telle disposition dans l'aLIPP III au regard de la baisse probable des recettes fiscales et de l'existence d'autres moyens, en particulier la promotion économique, permettant d'atteindre le même résultat (MGC 2008-2009/IX A 11697). 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 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 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9) 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 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 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 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 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 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 10) Invitée à se prononcer sur la portée des arrêts rendus en cours d'instruction de la présente cause, l'AFC-GE a exposé maintenir sa position. La recourante invoque d'abord l'incompatibilité de l'art.  58 al. 2 LIPP avec la LHID. La question de la compatibilité de cette disposition avec la LHID a déjà été admise dans les arrêts déjà rendus par la chambre de céans. En outre, les considérations suivantes peuvent être faites. 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 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un notamment un caractère exhaustif et les déductions sociales cantonales étant par ailleurs réservées (art. 9 al 2 et al. 4 LHID). 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 En l'espèce, la nature de déduction sociale est niée par l'AFC-GE au motif que l'art. 58 al. 2 LIPP suppose une participation préalable du contribuable. 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 En conséquence, interprété ainsi, rien ne permet de retenir que l'art. 58 al. 2 LIPP est contraire à la LHID. 11) La recourante persiste également dans sa décision initiale au motif que l'art. 58 al. 2 LIPP ne saurait s'appliquer aux professions libérales. Or, comme cela a été examiné ci-dessus, conformément aux arrêts rendus en la matière, la disposition est applicable potentiellement à toute forme d'entreprise, indépendamment de sa dénomination et de sa catégorie professionnelle. 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Malgré l'issue du litige, aucun émolument ne sera mis à la charge des intimés, ceux-ci n'ayant pas pris de conclusions devant la chambre de céans ( ATA/552/2014 du 17 juillet 2014),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