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A/1219/2007 vom 28. August 2007</w:t>
      </w:r>
    </w:p>
    <w:p>
      <w:r>
        <w:t>GE Cour de justice, 2007-08-28, FR</w:t>
      </w:r>
    </w:p>
    <w:p>
      <w:r>
        <w:rPr>
          <w:b/>
        </w:rPr>
        <w:t xml:space="preserve">Quelle: </w:t>
      </w:r>
      <w:r>
        <w:t>https://mcp.opencaselaw.ch/entscheid/ge_gerichte_A_1219_2007</w:t>
      </w:r>
    </w:p>
    <w:p>
      <w:r>
        <w:t>FR: GE_GERICHTE A/1219/2007 du 28 août 2007</w:t>
      </w:r>
    </w:p>
    <w:p>
      <w:r>
        <w:t>IT: GE_GERICHTE A/1219/2007 del 28 agosto 2007</w:t>
      </w:r>
    </w:p>
    <w:p>
      <w:pPr>
        <w:pStyle w:val="Heading2"/>
      </w:pPr>
      <w:r>
        <w:t>Regeste</w:t>
      </w:r>
    </w:p>
    <w:p>
      <w:r>
        <w:t>ALLOCATION FAMILIALE; ENFANT; DOMICILE; DOMICILE À L'ÉTRANGER; APPRÉCIATION DES PREUVES; PREUVE; LIBRE APPRÉCIATION DES PREUVES; FARDEAU DE LA PREUVE; PREUVE FACILITÉE; DROIT CANTONAL ; FRAIS D'ENTRETIEN | LAF3</w:t>
      </w:r>
    </w:p>
    <w:p>
      <w:pPr>
        <w:pStyle w:val="Heading2"/>
      </w:pPr>
      <w:r>
        <w:t>Erwägungen</w:t>
      </w:r>
    </w:p>
    <w:p>
      <w:r>
        <w:rPr>
          <w:b/>
        </w:rPr>
        <w:t>E. 6</w:t>
      </w:r>
    </w:p>
    <w:p>
      <w:r>
        <w:t>En l'espèce, l'intéressé est depuis son accident survenu en janvier 2006, assujetti à la LAF en application de l'art. 2 let. c LAF.</w:t>
      </w:r>
    </w:p>
    <w:p>
      <w:r>
        <w:rPr>
          <w:b/>
        </w:rPr>
        <w:t>E. 7</w:t>
      </w:r>
    </w:p>
    <w:p>
      <w:r>
        <w:t>L'art. 3 LAF précise qu'une personne assujettie à la loi peut bénéficier des prestations si elle a la garde d'un ou de plusieurs enfants ou si elle exerce l'autorité parentale ou encore si elle en assume l'entretien de manière prépondérante et durable. Il n'est pas contesté que l'intéressé a droit aux allocations familiales pour ses enfants domiciliés en Turquie, pour autant que ceux-ci n'aient pas encore atteint l'âge de 15 ans révolus (art. 7 al. 1 LAF).</w:t>
      </w:r>
    </w:p>
    <w:p>
      <w:r>
        <w:rPr>
          <w:b/>
        </w:rPr>
        <w:t>E. 8</w:t>
      </w:r>
    </w:p>
    <w:p>
      <w:r>
        <w:t>Aux termes de l'art. 4 al. 2 LAF, les allocations familiales doivent être affectées exclusivement à l'entretien du ou des enfants, raison pour laquelle le Tribunal de céans a à maintes reprises invité les caisses d'allocations familiales à contrôler que les prestations ont bien été reversées à la personne qui assure la garde des enfants, ce en exigeant régulièrement des justificatifs (cf. notamment ATAS 425/2007). En l'espèce, le recourant a reçu en décembre 2006 le rétroactif des allocations familiales qui lui étaient dues depuis le 1 er février 2006, soit une somme de 4'800 fr. Il allègue s'être alors rendu en Turquie, du 26 décembre 2006 au 25 janvier 2007, et avoir remis, en main propre, la somme totale à sa sœur qui a la garde effective des enfants. Il a à cet égard versé au dossier une attestation signée par celle-ci, par deux témoins, ainsi que par le chef du quartier, lequel, de par son autorité, se porte en quelque sorte garant des autres signataires.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Le Tribunal de céans considère qu'il est ainsi établi, au degré de vraisemblance requis par la jurisprudence, que l'intéressé a bien remis à sa sœur, pour ses enfants, le rétroactif des allocations familiales. En tout état de cause, il y a lieu de relever qu'alors qu'il n'avait pas encore été mis au bénéfice des allocations familiales par la CAFNA, il versait déjà mensuellement des sommes supérieures au montant des allocations familiales. En agissant de la sorte, avant même d'avoir reçu le rétroactif, le recourant a démontré tout l'intérêt qu'il portait à ses enfants et son souci de les entretenir au mieux. La CAFNA relève encore que les versements ont été effectués à plusieurs destinataires différents. Le Tribunal de céans constate cependant que la plupart d'entre eux l'ont été soit à la sœur de l'intéressé, soit à sa fille aînée, U__________. Deux versements ont été adressés à un certain A__________ ou A1__________ K__________, et un seul à une personne étrangère à la famille, Monsieur C__________. Dans ces trois cas quoi qu'il en soit, le même jour ou à une date toute proche, un autre versement est à chaque fois enregistré en faveur de la sœur.</w:t>
      </w:r>
    </w:p>
    <w:p>
      <w:r>
        <w:rPr>
          <w:b/>
        </w:rPr>
        <w:t>E. 11</w:t>
      </w:r>
    </w:p>
    <w:p>
      <w:r>
        <w:t>Aussi le recours doit-il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