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A/1217/2023 vom 20. August 2024</w:t>
      </w:r>
    </w:p>
    <w:p>
      <w:r>
        <w:t>GE Cour de justice, 2024-08-20, FR</w:t>
      </w:r>
    </w:p>
    <w:p>
      <w:r>
        <w:rPr>
          <w:b/>
        </w:rPr>
        <w:t xml:space="preserve">Quelle: </w:t>
      </w:r>
      <w:r>
        <w:t>https://mcp.opencaselaw.ch/entscheid/ge_gerichte_A_1217_2023</w:t>
      </w:r>
    </w:p>
    <w:p>
      <w:r>
        <w:t>FR: GE_GERICHTE A/1217/2023 du 20 août 2024</w:t>
      </w:r>
    </w:p>
    <w:p>
      <w:r>
        <w:t>IT: GE_GERICHTE A/1217/2023 del 20 agosto 2024</w:t>
      </w:r>
    </w:p>
    <w:p>
      <w:pPr>
        <w:pStyle w:val="Heading2"/>
      </w:pPr>
      <w:r>
        <w:t>Erwägungen</w:t>
      </w:r>
    </w:p>
    <w:p>
      <w:r>
        <w:rPr>
          <w:b/>
        </w:rPr>
        <w:t>E. 2</w:t>
      </w:r>
    </w:p>
    <w:p>
      <w:r>
        <w:t>Selon l’art. 61 al. 1 LPA, le recours peut être formé pour violation du droit, y compris l’excès et l’abus du pouvoir d’appréciation (let. a) et pour constatation inexacte ou incomplète des faits pertinents (let. b) ; les juridictions administratives n’ont pas compétence pour apprécier l’opportunité de la décision attaquée, sauf exception prévue par la loi, non réalisée en l’espèce (al. 2). La chambre administrative dispose d’un plein pouvoir d’examen en fait et en droit (arrêts du Tribunal fédéral 8C_257/2019 du 12 mai 2020 consid. 5.2 ; 8C_541/2017 du 14 mai 2018 consid. 2.5 et les références citées).</w:t>
      </w:r>
    </w:p>
    <w:p>
      <w:r>
        <w:rPr>
          <w:b/>
        </w:rPr>
        <w:t>E. 3</w:t>
      </w:r>
    </w:p>
    <w:p>
      <w:r>
        <w:t>Les recourants concluent préalablement à leur comparution personnelle, à l’audition de témoins, et à la production par l’hospice, l’office des poursuites et le casier judiciaire d’attestations pour la seconde identité utilisée par le recourant.</w:t>
      </w:r>
    </w:p>
    <w:p>
      <w:r>
        <w:rPr>
          <w:b/>
        </w:rPr>
        <w:t>E. 3.1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le droit d’obtenir l’audition de témoins (ATF 134 I 140 consid. 5.3 ; 130 II 425 consid. 2.1), ni une audition personnelle de l’intéressé, celui-ci devant simplement disposer d’une occasion de se déterminer sur les éléments propres à influer sur l’issue de la cause (art. 41 LPA ; ATF 140 I 68 consid. 9.6).</w:t>
      </w:r>
    </w:p>
    <w:p>
      <w:r>
        <w:rPr>
          <w:b/>
        </w:rPr>
        <w:t>E. 3.2</w:t>
      </w:r>
    </w:p>
    <w:p>
      <w:r>
        <w:t>En l’espèce, il sera vu plus loin que les agissements du recourant pour lesquels il a été condamné le 20 août 2016 et les circonstances révélées par le dossier récemment produit par l’OCPM font obstacle à son intégration, et que la recourante ne peut par ailleurs pas non plus se prévaloir d’une intégration exceptionnelle, ce qui suffit pour exclure la possibilité de leur octroyer une autorisation de séjour pour cas individuel d’extrême gravité, de sorte que la production de pièces attestant que sous sa seconde identité le recourant n’aurait pas fait l’objet de poursuites ni émargé à l’aide sociale, ou encore l’audition de témoins attestant de l’intégration et de l’activité économique des recourants n’est pas nécessaire à la solution du litige. Il ne sera pas donné suite aux demandes d’actes d’instruction.</w:t>
      </w:r>
    </w:p>
    <w:p>
      <w:r>
        <w:rPr>
          <w:b/>
        </w:rPr>
        <w:t>E. 4</w:t>
      </w:r>
    </w:p>
    <w:p>
      <w:r>
        <w:t>Est litigieux le refus de l’OCPM de reconnaître l’existence d’un cas de rigueur et de préaviser favorablement l’autorisation de séjour des recourants et de leurs enfants, ainsi que son refus de délivrer aux recourants une autorisation temporaire de séjour à des fins de mariage.</w:t>
      </w:r>
    </w:p>
    <w:p>
      <w:r>
        <w:rPr>
          <w:b/>
        </w:rPr>
        <w:t>E. 4.1</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w:t>
      </w:r>
    </w:p>
    <w:p>
      <w:r>
        <w:rPr>
          <w:b/>
        </w:rPr>
        <w:t>E. 4.2</w:t>
      </w:r>
    </w:p>
    <w:p>
      <w:r>
        <w:t>L'art. 30 al. 1 let. b LEI permet de déroger aux conditions d'admission en Suisse, telles que prévues aux art. 18 à 29 LEI, notamment aux fins de tenir compte des cas individuels d'une extrême gravité ou d'intérêts publics majeurs.</w:t>
      </w:r>
    </w:p>
    <w:p>
      <w:r>
        <w:rPr>
          <w:b/>
        </w:rPr>
        <w:t>E. 4.3</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w:t>
      </w:r>
    </w:p>
    <w:p>
      <w:r>
        <w:rPr>
          <w:b/>
        </w:rPr>
        <w:t>E. 4.4</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4.5</w:t>
      </w:r>
    </w:p>
    <w:p>
      <w:r>
        <w:t>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w:t>
      </w:r>
    </w:p>
    <w:p>
      <w:r>
        <w:rPr>
          <w:b/>
        </w:rPr>
        <w:t>E. 4.6</w:t>
      </w:r>
    </w:p>
    <w:p>
      <w:r>
        <w:t>L’indépendance économique est un aspect qui est en principe attendu de tout étranger désireux de s’établir durablement en Suisse et ne constitue donc pas un élément extraordinaire (arrêts du Tribunal fédéral 2C_779/2016 du 13 septembre 2016 consid. 4.2 et 2C_789/2014 du 20 février 2015 consid. 2.2.2).</w:t>
      </w:r>
    </w:p>
    <w:p>
      <w:r>
        <w:rPr>
          <w:b/>
        </w:rPr>
        <w:t>E. 4.7</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 ATA/365/2024 du 12 mars 2024 consid. 2.5 ; arrêt du Tribunal administratif fédéral [TAF] F-1700/2022 du 10 janvier 2024 consid. 7.5).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relative aux droits de l’enfant du 20 novembre 1989 (CDE - RS 0.107 ; arrêts du Tribunal fédéral 2A.679/2006 du 9 février 2007 consid. 3 et 2A.43/2006 du 31 mai 2006 consid. 3.1 ; ATA/434/2020 du 31 avril 2020 consid. 10).</w:t>
      </w:r>
    </w:p>
    <w:p>
      <w:r>
        <w:rPr>
          <w:b/>
        </w:rPr>
        <w:t>E. 4.8</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ne sont pas déterminantes (ATF 137 II 1 consid. 4.3 ; 134 II 10 consid. 4.3). L’examen de la proportionnalité de la mesure, imposé par l’art. 96 LEI, se confond avec celui qui est prévu à l’art. 8 § 2 CEDH (ATF 139 I 31 consid. 2.3.2 ; 139 I 145 consid. 2.2).</w:t>
      </w:r>
    </w:p>
    <w:p>
      <w:r>
        <w:rPr>
          <w:b/>
        </w:rPr>
        <w:t>E. 4.9</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4.10</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4.11</w:t>
      </w:r>
    </w:p>
    <w:p>
      <w:r>
        <w:t>En l’espèce, le recourant n’a ni dettes ni poursuites ni actes de défaut de biens. Il n’est pas contesté qu’il maîtrise la langue française au niveau requis. Il est indépendant financièrement et a toujours travaillé et pourvu à ses besoins, à l’exception d’une brève période durant laquelle il a émargé à l’aide sociale de l’hospice. Le TAPI a retenu qu’il n’avait pas séjourné de manière ininterrompue en Suisse à tout le moins jusqu’en 2018, la recourante ayant déclaré que cette année-là il était retourné en France. Il ressort des déclarations du recourant à la police du 19 août 2016, versées récemment à la procédure par l’OCPM, qu’il était alors domicilié à Saint-Jean-De-Gonville et titulaire d’un permis frontalier. Le recourant fait certes valoir dans sa réplique qu’il aurait déclaré une adresse en France pour éviter des poursuites pour séjour illégal en Suisse. Cette explication est toutefois peu crédible, dès lors d’une part que le recourant a quoi qu’il en soit été condamné pour une autre infraction à l’art. 115 al. 1 LEI commise à réitérées reprises, soit l’entrée illégale, et d’autre part que son statut de frontalier était nécessairement lié à une adresse en France voisine connue des autorités suisses. Les pièces produites par le recourant aux fins d’établir qu’il avait joué au FC AR______ entre 2008 et 2010 ou travaillé comme bénévole à Genève de 2015 à 2017 n’établissent pas qu’il aurait alors séjourné de manière ininterrompue en Suisse. Le travail au service d’un restaurant italien de 2016 à 2018, s’il était avéré, ne serait, pareillement, pas une preuve d’un séjour ininterrompu en Suisse. L’OCPM puis le TAPI pouvaient ainsi, sans excès ni abus de leur pouvoir d’appréciation, tenir pour établi que la durée du séjour ininterrompue en Suisse du recourant ne pouvait être considérée comme suffisante au regard des conditions à l’octroi d’une autorisation de séjour pour cas individuel d’extrême gravité. Cela étant, même si un long séjour ininterrompu devait être retenu en faveur du recourant, celui-ci devait être fortement relativisé pour s’être déroulé dans l’illégalité. Surtout, il ne suffirait pas pour l’octroi d’une autorisation de séjour en l’absence d’une intégration réussie. En effet, le recourant a été condamné en 2016 pour avoir, grâce aux papiers d’identité français qu’il s’était procuré frauduleusement en France, obtenu en Suisse un permis frontalier auquel il n’aurait pas eu droit. À elle seule, cette condamnation, même relativement ancienne, dénote un mépris pour les institutions et l’ordre juridique qui suffit pour exclure la reconnaissance de l’intégration au niveau requis pour l’octroi d’une autorisation de séjour. Le recourant fait certes valoir que c’est lui qui a révélé cet épisode dans la présente procédure. Il n’en demeure pas moins qu’il se prévalait, dans son recours encore, de l’absence de toute condamnation pénale alors qu’il ne pouvait ignorer l’existence de l’ordonnance pénale du 20 août 2016, qui lui avait été notifiée à l’audience alors qu’il comparaissait détenu. Il sera encore observé que sous l’angle professionnel, le recourant, qui travaille certes et subvient à l’entretien de sa famille, ne peut pas se prévaloir d’une intégration exceptionnelle au sens où l’exige la délivrance d’une autorisation de séjour pour cas de rigueur. Pour le surplus, il fait valoir de nombreux liens familiaux et amicaux en Suisse. Le centre de ses intérêts est toutefois constitué par sa famille nucléaire, soit sa compagne B______ et leurs quatre enfants communs, dont le recours subira le même sort, ainsi qu’il sera vu plus loin. Âgé de 40 ans, le recourant est encore jeune. Il affirme ne plus avoir d’attaches au Sénégal, où il a vécu toute son enfance, son adolescence et le début de son âge adulte, et dont il maîtrise la langue et la culture. Si sa réintégration ne se déroulera certes pas sans difficultés, elle ne sera pas plus difficile que celle de compatriotes placés dans une situation semblable. Il pourra compter sur l’appui de B______ et l’expérience acquise en Suisse et en France. C’est ainsi de manière conforme au droit que l’OCPM a refusé de préaviser favorablement la délivrance au recourant d’une autorisation de séjour pour cas individuel d’extrême gravité. Le TAPI a retenu à propos de la recourante que ses déclarations avaient varié et qu’il était difficile de déterminer le début de son séjour durable en Suisse. Même dans l’hypothèse la plus favorable d’un séjour continu débutant en 2014, la durée de celui-ci devait être fortement relativisée car il s’était entièrement déroulé dans l’illégalité. Le TAPI a également retenu que la recourante avait certes, un temps, pourvu elle-même à son entretien, mais qu’elle avait bénéficié du 1 er avril 2020 jusqu’à fin février 2023 de l’aide de l’hospice. Il a retenu que la recourante avait été condamnée pour travail et séjour illicites, et que son intégration socio‑professionnelle ne pouvait être qualifiée d’extraordinaire. Ce raisonnement n’appelle aucune critique. La recourante fait certes valoir qu’elle participe régulièrement à l’activité d’une association de compatriotes. Cette circonstance, si elle dénote une intégration socio-culturelle plus poussée que ce qu’a retenu le TAPI, ne suffit cependant pas pour établir l’intégration exceptionnelle exigée pour la délivrance d’une autorisation de séjour pour cas individuel d’extrême gravité. La recourante fait aussi valoir ses liens amicaux et familiaux à Genève. Toutefois, comme le recourant, elle doit se laisser opposer que le centre de ses intérêts est constitué de sa famille nucléaire, soit son compagnon et leur quatre enfants communs, dont le sort suit le sien. La recourante fait enfin valoir la formation qu’elle a acquise dans sa profession. Si cette circonstance doit en effet être relevée, elle n’est pas apte, seule ou avec les autres circonstances prises en compte, à réaliser la condition de l’intégration exceptionnelle. La recourante est âgée de 38 ans et encore jeune. Elle a passé son enfance, son adolescence et le début de l’âge adulte au Sénégal, dont elle connaît la langue et les codes culturels. Sa réintégration ne sera sans doute pas facile, mais elle ne sera pas plus difficile que celle de ses compatriotes placés dans une situation semblable. Elle pourra compter sur l’aide du recourant, et faire valoir la formation et l’expérience professionnelles acquises en Suisse. Les enfants des recourants sont aujourd’hui âgés de 10, 7, 5 et 1 an. Compte tenu de leur âge, ils suivent naturellement le sort de leurs parents, auxquels ils demeurent attachés. Il est indifférent à cet égard qu’ils ne se soient jamais rendus au Sénégal. Les recourants affirment que l’aînée entre dans l’adolescence. Il reste que sa scolarité n’est pas avancée et que sa personnalité n’est pas encore formée au point que le retour au Sénégal constituerait pour elle un déracinement qui ne pourrait lui être imposé. Ce raisonnement vaut a fortiori pour ses cadets dont la scolarité est encore moins avancée. Les trois enfants pourront faire valoir au Sénégal les acquis de leur scolarité en Suisse et rien n’indique que leur réintégration sera difficile. C’est ainsi de manière conforme au droit que l’OCPM a refusé de préaviser favorablement la délivrance à la recourante et ses enfants d’autorisations de séjour pour cas individuel d’extrême gravité. Les recourants se prévalent de l’art. 8 CEDH et font valoir qu’ils devraient se voir reconnaître le statut d’« immigrés établis » et octroyer à ce titre des autorisations de séjour. Il a toutefois été vu plus haut que le recourant n’établissait pas un séjour ininterrompu en Suisse avant 2018 et la recourante avant 2014 dans l’hypothèse la plus favorable. Les recourants ne pouvaient ainsi se prévaloir de la présomption de l’intégration durable lorsqu’ils ont déposé leurs demandes d’autorisation de séjour. La recourante pourrait-elle aujourd’hui se prévaloir d’un séjour ininterrompu de dix ans – qu’elle n’établit cependant pas à satisfaction de droit, étant observé qu’elle se déclarait domiciliée en France lors de la naissance de ses deux aînés en juillet 2014 et en février 2017 – la présomption d’intégration durable serait renversée par le recours à l’aide sociale de l’hospice et l’absence d’intégration professionnelle exceptionnelle, la recourante ayant travaillé un temps dans l’économie domestique mais ne travaillant plus depuis plusieurs années. L’ACEDH GEZINCI c. Suisse du 9 décembre 2010 (requête 16327/05) cité par les recourants mentionne les « immigrés établis » pour indiquer qu’indépendamment de la durée de leur résidence, ils n’ont pas forcément une vie familiale mais peuvent également se prévaloir d’une vie privée (§ 56). Quoi qu’il en soit de la prise en compte des années de séjour accomplies dans l’illégalité, il a été vu que les recourants ne peuvent en toute hypothèse se prévaloir ni d’une longue durée de séjour ni d’une intégration suffisamment forte pour se prévaloir de l’art. 8 CEDH. C’est ainsi de manière conforme au droit que l’OCPM a refusé de préaviser favorablement la délivrance aux recourants d’autorisations de séjour pour cas individuels d’extrême gravité.</w:t>
      </w:r>
    </w:p>
    <w:p>
      <w:r>
        <w:rPr>
          <w:b/>
        </w:rPr>
        <w:t>E. 5</w:t>
      </w:r>
    </w:p>
    <w:p>
      <w:r>
        <w:t>Les recourants contestent le refus de l’OCPM de leur accorder une autorisation temporaire de séjour en vue de leur mariage en Suisse.</w:t>
      </w:r>
    </w:p>
    <w:p>
      <w:r>
        <w:rPr>
          <w:b/>
        </w:rPr>
        <w:t>E. 5.1</w:t>
      </w:r>
    </w:p>
    <w:p>
      <w:r>
        <w:t>À teneur de l’art. 12 CEDH, à partir de l’âge nubile, l’homme et la femme ont le droit de se marier et de fonder une famille selon les lois nationales régissant l’exercice de ce droit. Cette garantie a été traduite en droit suisse à l’art. 14 Cst., selon lequel le droit au mariage et à la famille est garanti. Le droit de se marier se rattache aussi bien à la liberté personnelle qu’à la garantie de la vie familiale. Il s’agit d’une garantie de partie institutionnelle (Andreas AUER/Giorgio MALINVERNI/Michel HOTTELIER, Droit constitutionnel suisse, 3 e éd., p. 205 n. 421).</w:t>
      </w:r>
    </w:p>
    <w:p>
      <w:r>
        <w:rPr>
          <w:b/>
        </w:rPr>
        <w:t>E. 5.2</w:t>
      </w:r>
    </w:p>
    <w:p>
      <w:r>
        <w:t>Le droit au mariage protège la conclusion de celui-ci. Il peut faire l’objet de restrictions. La liberté du législateur ne saurait, sauf cas exceptionnel, priver une personne ou une catégorie de personnes du droit de contracter mariage (ATF 113 II 1). En outre, la réglementation ne doit en aucun cas porter atteinte à l’essence de ce droit (Andreas AUER/Giorgio MALINVERNI/Michel HOTTELIER, op. cit., p. 210 n. 433 et 434).</w:t>
      </w:r>
    </w:p>
    <w:p>
      <w:r>
        <w:rPr>
          <w:b/>
        </w:rPr>
        <w:t>E. 5.3</w:t>
      </w:r>
    </w:p>
    <w:p>
      <w:r>
        <w:t>Toute restriction d’un droit fondamental doit être fondée sur une base légale, celle-ci doit être formelle s’il s’agit d’une restriction grave (art. 36 al. 1 Cst.). Elle doit être justifiée par un intérêt public (art. 36 al. 2 Cst.) et doit être proportionnée au but visé (art. 36 al. 3 Cst.).</w:t>
      </w:r>
    </w:p>
    <w:p>
      <w:r>
        <w:rPr>
          <w:b/>
        </w:rPr>
        <w:t>E. 5.4</w:t>
      </w:r>
    </w:p>
    <w:p>
      <w:r>
        <w:t>Selon le Tribunal fédéral, un étranger peut, à certaines conditions, déduire du droit au mariage garanti par l’art. 12 CEDH et l’art. 14 Cst. un droit à pouvoir séjourner en Suisse en vue de s’y marier (ATF 137 I 351 consid 3. 5).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(art. 17 al. 2 LEtr par analogie).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138 I 41 consid. 4 ; 137 I 351 consid. 3.7 ; arrêts du Tribunal fédéral 2C_498/2014 du 22 août 2014 consid. 3.2 ; ATA/90/2016 du 2 février 2016).</w:t>
      </w:r>
    </w:p>
    <w:p>
      <w:r>
        <w:rPr>
          <w:b/>
        </w:rPr>
        <w:t>E. 5.5</w:t>
      </w:r>
    </w:p>
    <w:p>
      <w:r>
        <w:t>En l’espèce, il a été vu plus haut que les recourants ne peuvent prétendre à l’octroi d’autorisations de séjour. Il s’ensuit qu’ils ne peuvent dans le cas d’espèce se prévaloir de l’art. 14 Cst. pour obtenir des autorisation de séjour temporaires en vue de mariage, dès lors qu’ils ne pourront séjourner durablement dans le pays. Le grief sera écarté.</w:t>
      </w:r>
    </w:p>
    <w:p>
      <w:r>
        <w:rPr>
          <w:b/>
        </w:rPr>
        <w:t>E. 6</w:t>
      </w:r>
    </w:p>
    <w:p>
      <w:r>
        <w:t>Reste encore à examiner si le renvoi des recourants est possible, licite et peut être raisonnablement exigé.</w:t>
      </w:r>
    </w:p>
    <w:p>
      <w:r>
        <w:rPr>
          <w:b/>
        </w:rPr>
        <w:t>E. 6.1</w:t>
      </w:r>
    </w:p>
    <w:p>
      <w:r>
        <w:t>Selon l'art. 64 al. 1 let. c LEI, toute personne étrangère dont l'autorisation est refusée, révoquée ou qui n'est pas prolongée après un séjour autorisé est renvoyée.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w:t>
      </w:r>
    </w:p>
    <w:p>
      <w:r>
        <w:rPr>
          <w:b/>
        </w:rPr>
        <w:t>E. 6.2</w:t>
      </w:r>
    </w:p>
    <w:p>
      <w:r>
        <w:t>En l’espèce, les recourants ne font à juste titre pas valoir que leur renvoi serait illicite, impossible ou ne pourrait raisonnablement être exigé d’eux. Aucun élément du dossier ne suggère que tel serait le cas. C’est ainsi de manière conforme au droit que l’OCPM a ordonné leur renvoi. Entièrement mal fondé, le recours sera rejeté.</w:t>
      </w:r>
    </w:p>
    <w:p>
      <w:r>
        <w:rPr>
          <w:b/>
        </w:rPr>
        <w:t>E. 7</w:t>
      </w:r>
    </w:p>
    <w:p>
      <w:r>
        <w:t>Vu l’issue du recours, un émolument de CHF 600.-, tenant compte de la jonction des deux causes, sera mis à la charge solidaire des recourants, qui ne peuvent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