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A/1210/2014 vom 19. Februar 2015</w:t>
      </w:r>
    </w:p>
    <w:p>
      <w:r>
        <w:t>GE Cour de justice, 2015-02-19, FR</w:t>
      </w:r>
    </w:p>
    <w:p>
      <w:r>
        <w:rPr>
          <w:b/>
        </w:rPr>
        <w:t xml:space="preserve">Quelle: </w:t>
      </w:r>
      <w:r>
        <w:t>https://mcp.opencaselaw.ch/entscheid/ge_gerichte_A_1210_2014</w:t>
      </w:r>
    </w:p>
    <w:p>
      <w:r>
        <w:t>FR: GE_GERICHTE A/1210/2014 du 19 février 2015</w:t>
      </w:r>
    </w:p>
    <w:p>
      <w:r>
        <w:t>IT: GE_GERICHTE A/1210/2014 del 19 febbraio 2015</w:t>
      </w:r>
    </w:p>
    <w:p>
      <w:pPr>
        <w:pStyle w:val="Heading2"/>
      </w:pPr>
      <w:r>
        <w:t>Erwägungen</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Cette réglementation n'est toutefois pas applicable dans les cas où le délai d'attente a commencé à courir avant le 1 er janvier 2008 (ATF non publié 9C_583/2010 du 22 septembre 2011, consid. 4.1). Dans cette hypothèse et lorsque la demande a été déposée avant le 1 er janvier 2009 (cf. Lettre-circulaire n° 300 de l'OFAS du 15 juillet 2011, Droit transitoire: application des délais de péremption), la solution prévue par l’art. 48 al. 2 aLAI continue à s'appliquer. Par conséquent, le droit à la rente prend naissance à la date à laquelle l'assuré a présenté, en moyenne, une incapacité de travail de 40% au moins pendant une année sans interruption notable à condition que le requérant ait déposé sa demande dans les douze mois dès la naissance du droit.</w:t>
      </w:r>
    </w:p>
    <w:p>
      <w:r>
        <w:rPr>
          <w:b/>
        </w:rPr>
        <w:t>E. 7</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c)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arrêts cités). Le droit d'être entendu, tel qu'il est garanti par l'art. 29 al. 2 de la Constitution fédérale de la Confédération suisse, du 18 avril 1999 (Cst. ; RS 101), comprend notamment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Il s'agit d'une concrétisation du droit à une procédure équitable, consacré par l'art. 29 al. 1 Cst., qui correspond à la garantie similaire que l'art. 6 de la Convention de sauvegarde des droits de l’homme et des libertés fondamentales du 4 novembre 1950 (CEDH; RS 0.101) confère à l'égard des autorités judiciaires proprement dites.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128 V 272 consid. 5b/bb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(ATF non publié 9C_187/2007 du 30 avril 2008 consid. 4.3). Tel est notamment le cas lorsque l’administration a accordé une rente d’invalidité au mépris du principe de la priorité de la réadaptation sur la rente (ATFA non publié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(ATF non publié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(ATF non publiés 9C_71/2008 du 14 mars 2008 consid. 2, U 5/07 du 9 janvier 2008 consid. 5.2, 9C_575/2007 du 18 octobre 2007 consid. 2.2, I 907/06 du 7 mai 2007 consid. 3.2.1). En règle générale, l’octroi illégal de prestations est réputé sans nul doute erroné (ATF 126 V 399 consid. 2b/bb). Ce principe doit toutefois être relativisé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De jurisprudence constante, une appréciation médicale différente ultérieure ne suffit pas pour faire apparaître comme manifestement erronée une décision initiale (ATFA non publié I 512/05 du 3 mai 2006 consid. 4.2).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ATF non publié 9C_74/2008 du 17 juillet 2008 consid. 2). Dans un ATFA non publié du 13 août 2003, en la cause I 790/01, le Tribunal fédéral des assurances (ci-après le TFA) a jugé que l’office de l’assurance-invalidité, qui disposait d’avis médicaux contradictoires, avait pris une décision d’octroi de rente manifestement erronée. L’administration s’était contentée de statuer à la lumière de l’appréciation d’un des médecins, alors qu’il lui eut préalablement incombé d’élucider la divergence entre les deux certificats médicaux en ordonnant une expertise médicale. Ainsi, le dossier avait été insuffisamment instruit et la décision découlant de cette instruction lacunaire apparaissait manifestement erronée. Dans un ATFA non publié du 4 juillet 2003, en la cause I 703/02, le TFA a estimé que l’office de l’assurance-invalidité, en présence d’un seul avis médical émanant du médecin traitant, avait certes procédé à une instruction lacunaire, mais sa décision, basée sur un rapport médical clair, n’apparaissait pas manifestement erronée. Le TFA a notamment relevé : « Comme le seul avis médical au dossier émane du médecin traitant de S., il aurait sans doute été opportun de soumettre le prénommé, au terme de son stage de réadaptation, à un examen médical circonstancié auprès d’un médecin indépendant. L’office de l’assurance-invalidité y a renoncé, sans que l’on puisse toutefois considérer que l’instruction menée était lacunaire à tel point qu’il n’ait pas satisfait à ses obligations légales en la matière (art. 57 LAI et 69 RAI). Or, s’il apparaît ultérieurement, à la suite d’une nouvelle analyse de la situation, que l’appréciation médicale du cas à l’époque était critiquable, cela ne rend pas pour autant la décision prise sur cette base comme étant manifestement erronée ». S'agissant en particulier de la problématique des troubles somatoformes douloureux, la jurisprudence les concernant (ATF 130 V 352 ) ne saurait constituer un motif de reconsidération de la décision de rente (SVR 2008 IV n° 5 p. 12, I 138/07 consid. 4), pas plus qu'elle ne justifie, au titre d'une adaptation à un changement des fondements juridiques, de réduire ou de supprimer des rentes en cours, qui ont été allouées par le passé à des assurés souffrant de troubles somatoformes douloureux (ATF 135 V 215 ). De jurisprudence constante, l'administration n'est pas tenue de reconsidérer les décisions; elle en a simplement la faculté et ni l'assuré ni le juge ne peuvent l'y contraindre (ATF 117 V 8 consid. 2a p. 12 et les références). Il n'existe ainsi pas de droit à la reconsidération que l'assuré pourrait déduire en justice.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117 V 8 consid. 2a p. 13, 116 V 62 ). L'introduction de la LPGA n'a rien changé à cet égard. Le législateur, qui n'a pas voulu déroger à ces principes, n'a fait que codifier cette pratique jurisprudentielle (ATF du 10 juillet 2008 9C 447/2007).</w:t>
      </w:r>
    </w:p>
    <w:p>
      <w:r>
        <w:rPr>
          <w:b/>
        </w:rPr>
        <w:t>E. 8</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b)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 op. cit., consid. 2.4). d)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(ATF non publié 9C_395/07 du 15 avril 2008, consid. 2.3).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f) Une expertise médicale établie sur la base d'un dossier peut avoir valeur probante pour autant que celui-ci contienne suffisamment d'appréciations médicales qui, elles, se fondent sur un examen personnel de l'assuré (cf. RAMA 2001 n° U 438 p. 346 consid. 3d).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10</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w:t>
      </w:r>
    </w:p>
    <w:p>
      <w:r>
        <w:rPr>
          <w:b/>
        </w:rPr>
        <w:t>E. 11</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w:t>
      </w:r>
    </w:p>
    <w:p>
      <w:r>
        <w:rPr>
          <w:b/>
        </w:rPr>
        <w:t>E. 13</w:t>
      </w:r>
    </w:p>
    <w:p>
      <w:r>
        <w:t>En l'occurrence, l'intimé a fondé sa décision sur la base de l'expertise du Dr K______ du 10 octobre 2013, laquelle conclut à une pleine capacité de travail du recourant depuis le 24 avril 2012. Toutefois, ce rapport ne répond pas aux réquisits jurisprudentiels précités pour qu'il lui soit reconnu une pleine valeur probante. Tout d'abord, le rapport résume les différents rapports des médecins-traitants, mais omet celui de la Dresse C______ du 29 avril 1999 attestant d'une incapacité de travail totale du recourant en raison d'un épisode dépressif majeur, isolé, sévère, sans caractéristique psychotique et anxiété généralisée, avec des idées suicidaires récurrentes. Or, l'expert a considéré que la rente AI avait été délivrée en 2001 sur la base d'un unique rapport médical du médecin assistant de la consultation des Eaux-Vives, le Dr D______ et reconduite sur la base des brefs rapports émanant de cette même institution. Il ne mentionne pas du tout l'avis initial de la Dresse C______, pourtant au dossier de l'intimé; par ailleurs, l'expert part du principe que l'OAI n'a pas instruit correctement le dossier en octroyant une rente d'invalidité (rapport p. 19-20), tout en affirmant qu'il ne peut se prononcer rétrospectivement sur la capacité de travail de l'assuré (procès-verbal d'enquêtes du 26 janvier 2015 [PV] p. 3). Il estime que les médecins-traitants du recourant du CAPPI ne seraient pas à même de bien appréhender une situation médicale, car il s'agit de médecins en formation, qui changent chaque année, sans suivi régulier du patient; ils ne poseraient pas toutes les questions et ne verraient pas le patient très longtemps; ils n'auraient pas le dossier complet, tiendraient pour acquis ce que leur disent leurs patients et n'auraient pas une vision assécurologique des choses (PV p. 3). L'expert émet ainsi un jugement sur la compétence des médecins ayant suivi le recourant au CAPPI par le biais de considérations générales, sans fondement sérieux. A cet égard, le recourant a été suivi par au moins sept médecins (Drs D______, E______, G______, H______, N______ et J______), lesquels ont tous attesté régulièrement d'une incapacité de travail totale du recourant. En dernier lieu, la Dresse J______ a précisé le 15 mai 2014 que le recourant présentait un trouble dépressif récurrent, épisode actuel sévère, depuis le début de son suivi en juin 2013 et un trouble anxieux généralisé. Elle a indiqué que le recourant était totalement incapable de travailler. Ces avis sont en complète contradiction avec celui de l'expert. Par ailleurs, l'expert n'a vu le recourant qu'au cours d'un seul entretien, de surcroît sans interprète, alors que le recourant s'exprime très mal en français, comme la chambre de céans a pu le constater lors de l'audience du 8 septembre 2014. Or, si l'expert estime que les médecins du CAPPI ne peuvent, sur la base de plusieurs entretiens, appréhender la situation médicale du recourant, il n'explique pas pourquoi il aurait lui-même cette compétence, sur la base d'un unique entretien avec ce dernier. Principalement, l'expert fonde une capacité de travail du recourant d'un point de vue pragmatique et de bons sens (PV p. 3), sans étayer sérieusement son avis. Il considère que le fait d'avoir une maîtresse, de fréquenter les casinos, d'être père et d'aider ses amis constitue la preuve d'une vie intense (rapport p. 20-22) et, a fortiori, fonde une capacité de travail plein et entière. Cet avis, basé sur des considérations générales, n'est pas pertinent. A cet égard, l'expert déduit de deux anecdotes narrées par le recourant que celui-ci travaille au noir (PV p. 2) et exerce même de petites activités lucratives (rapport p. 20). Or, le recourant a expliqué lors de l'audience du 3 novembre 2014 qu'il accompagnait de temps à autre un ami restaurateur, à la demande de celui-ci, lequel voulait lui remonter le moral et qu'il avait accompagné une seule fois à Zürich un ami transporteur. L'expert déduit ainsi hâtivement, sans autre faits ni explications à l'appui de ses dires, que le recourant exerce une activité lucrative au noir. Au vu de ce qui précède, l'expertise du Dr K______ ne peut être considérée comme probante.</w:t>
      </w:r>
    </w:p>
    <w:p>
      <w:r>
        <w:rPr>
          <w:b/>
        </w:rPr>
        <w:t>E. 14</w:t>
      </w:r>
    </w:p>
    <w:p>
      <w:r>
        <w:t>Une expertise judiciaire psychiatrique s'avère nécessaire, laquelle sera confiée au docteur O______, afin d'établir si le recourant a présenté une amélioration de son état de santé et de fixer la capacité de travail de ce dernier. Pour répondre à la demande du SMR, la question 1. sera complétée. S'agissant du choix de l'expert, le Dr O______ sera maintenu dès lors qu'il est à même, en tant que psychiatre, de repérer une éventuelle problématique liée à l'abus d'alcool et d'évaluer l'impact de celle-ci sur l'état de santé du recourant, étant précisé que selon le Dr K______, dont les conclusions ont été entièrement reprises par l'intimé, cette problématique n'a plus l'intensité qu'elle avait au début des années 2000, au moment où les tests CDT avaient été effectués par le CAPPI, le Dr K______ ayant relevé que "l'assuré boit beaucoup moins qu'avant" (PV du 26 janvier 2015). PAR CES MOTIFS, LA CHAMBRE DES ASSURANCES SOCIALES : Statuant Préparatoirement : I. Ordonne une expertise médicale. La confie au Dr O______. Dit que la mission d’expertise sera la suivante : A. Prendre connaissance du dossier de la cause. B. Si nécessaire prendre tous renseignements auprès des médecins ayant traité M. A______, notamment les Dresses I______ et J______, du CAPPI. C. Examiner M. A______. D. Etablir un rapport détaillé et répondre aux questions suivantes: 1. Quelle est l’anamnèse détaillée du cas ? En particulier, veuillez décrire la vie sociale et sentimentale de M. A______. 2. Quel est le status détaillé et l'évolution du status depuis le début de l'atteinte ? 3. Quelles sont les plaintes de M. A______ ? 4. Quelle est l’atteinte à la santé dont souffre M. A______ d’un point de vue psychiatrique (diagnostics et date d’apparition) ? 5. Quelles sont les limitations fonctionnelles pour chaque diagnostic ? 6. Quel traitement est-il indiqué ? M. A______ suit-il un traitement adéquat ? Y a-t-il une amélioration possible à court/moyen terme ? 7. Existe-il une dépendance (comme l'alcoolisme, la pharmacodépendance ou la toxicomanie) ? Si oui : a) Cette dépendance a-t-elle provoqué une maladie (ou un accident) qui entraîne une atteinte à la santé physique ou mentale de M. A______ ? Si oui, laquelle ? aa) Cette atteinte à la santé entraîne-t-elle une incapacité de travail et, si oui, à quel taux et depuis quelle date ? ab) L'activité antérieure est-elle encore possible ? Si oui, à quel taux et depuis quelle date ? ac) Une autre activité est-elle encore possible ? Si oui, à quel taux et depuis quelle date ? b) Cette dépendance résulte-t-elle elle-même d'une atteinte à la santé physique ou mentale ayant valeur de maladie ? En d’autres termes, une atteinte à la santé était-elle préexistante à la dépendance ? ba) Si oui, laquelle ? Cette atteinte à la santé entraîne-t-elle en elle-même une incapacité de travail et, si oui, à quel taux et depuis quelle date? bb) L'activité antérieure est-elle encore possible ? Si oui, à quel taux et depuis quelle date ? bc) Une autre activité est-elle encore possible ? Si oui, à quel taux et depuis quelle date ? 8. a) Compte tenu de vos diagnostics, M. A______ pourrait-il, en faisant preuve de bonne volonté, exercer une activité lucrative ? Si oui, laquelle ? A quel taux ? Depuis quelle date ? b) M. A______ a-t-il en particulier recouvré une capacité de travail depuis le 24 avril 2012 ? c) Quel est votre pronostic quant à l’exigibilité de la reprise d’une activité lucrative ? d) Si aucune activité n'est possible ou dans une mesure restreinte, pour quels motifs ? e) Quelles sont les limitations fonctionnelles qui entrent en ligne de compte ? 9. L'état de santé de M. A______ s'est-il amélioré depuis la décision de rente de 2001 ? Si oui, de quelle manière ? 10. a) Etes-vous d'accord avec l'expertise du Dr K______ du 10 octobre 2013 ? En particulier avec les diagnostics posés et l'estimation d'une pleine capacité de travail depuis le 24 avril 2012? Si non, pourquoi ? b) Etes-vous d'accord avec l'avis de la Dresse J______ du 3 mars 2014 ? En particulier avec les diagnostics posés et l'estimation d'une capacité de travail nulle ? Si non, pourquoi ? c) Etes-vous d’accord avec l’avis de la Dresse J______ du 15 avril 2014 ? En particulier avec les diagnostics posés et l’estimation d’une capacité de travail nulle ? Si non, pourquoi ? 11. Au vu du dossier, votre réponse aux questions susmentionnées est-elle identique à celle que vous auriez donnée à la date de la décision rendue par l’Office de l’assurance-invalidité, soit le 28 mars 2014 ? Si non, pourquoi et quelles sont les réponses qui varient ? 12. Des mesures de réadaptation professionnelle sont-elles envisageables ? 13. Faire toutes autres observations ou suggestions utiles. II. Réserve le sort des frais jusqu’à droit jugé au fond. La greffière : Alicia PERRONE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