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A/1209/2023 vom 24. November 2023</w:t>
      </w:r>
    </w:p>
    <w:p>
      <w:r>
        <w:t>GE Cour de justice, 2023-11-24, FR</w:t>
      </w:r>
    </w:p>
    <w:p>
      <w:r>
        <w:rPr>
          <w:b/>
        </w:rPr>
        <w:t xml:space="preserve">Quelle: </w:t>
      </w:r>
      <w:r>
        <w:t>https://mcp.opencaselaw.ch/entscheid/ge_gerichte_A_1209_2023</w:t>
      </w:r>
    </w:p>
    <w:p>
      <w:r>
        <w:t>FR: GE_GERICHTE A/1209/2023 du 24 novembre 2023</w:t>
      </w:r>
    </w:p>
    <w:p>
      <w:r>
        <w:t>IT: GE_GERICHTE A/1209/2023 del 24 novembre 2023</w:t>
      </w:r>
    </w:p>
    <w:p>
      <w:pPr>
        <w:pStyle w:val="Heading2"/>
      </w:pPr>
      <w:r>
        <w:t>Erwägungen</w:t>
      </w:r>
    </w:p>
    <w:p>
      <w:r>
        <w:rPr>
          <w:b/>
        </w:rPr>
        <w:t>E. 1</w:t>
      </w:r>
    </w:p>
    <w:p>
      <w:r>
        <w:t>![endif]&gt;![if&gt;</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2.3).![endif]&gt;![if&gt; Le siège de la société ayant été situé dans le canton de Genève jusqu’au moment de sa faillite, la chambre de céans est également compétente ratione loci .</w:t>
      </w:r>
    </w:p>
    <w:p>
      <w:r>
        <w:rPr>
          <w:b/>
        </w:rPr>
        <w:t>E. 1.3</w:t>
      </w:r>
    </w:p>
    <w:p>
      <w:r>
        <w:t>Interjeté dans les forme et délai prévus par la loi, le recours est recevable (art. 56ss LPGA).![endif]&gt;![if&gt;</w:t>
      </w:r>
    </w:p>
    <w:p>
      <w:r>
        <w:rPr>
          <w:b/>
        </w:rPr>
        <w:t>E. 2</w:t>
      </w:r>
    </w:p>
    <w:p>
      <w:r>
        <w:t>Le litige porte sur la responsabilité du recourant pour le dommage subi par l'intimée du fait du défaut de paiement des cotisations sociales pour les salaires versés par la société de 2016 à 2018.![endif]&gt;![if&gt;</w:t>
      </w:r>
    </w:p>
    <w:p>
      <w:r>
        <w:rPr>
          <w:b/>
        </w:rPr>
        <w:t>E. 3</w:t>
      </w:r>
    </w:p>
    <w:p>
      <w:r>
        <w:t>Le recourant fait valoir en premier lieu que la prétention de la caisse est prescrite.![endif]&gt;![if&gt;</w:t>
      </w:r>
    </w:p>
    <w:p>
      <w:r>
        <w:rPr>
          <w:b/>
        </w:rPr>
        <w:t>E. 3.1</w:t>
      </w:r>
    </w:p>
    <w:p>
      <w:r>
        <w:t>L’art. 52 al. 3 LAVS, dans sa teneur en vigueur depuis le 1 er janvier 2020, prévoit que l’action en réparation du dommage se prescrit conformément aux dispositions du code des obligations sur les actes illicites. Cette disposition renvoie à l’art. 60 al. 1 de la loi fédérale du 30 mars 1911 complétant le Code civil suisse (Code des obligations [CO] - RS 220), selon lequel l’action en dommages-intérêts ou en paiement d’une somme d’argent à titre de réparation morale se prescrit par trois ans à compter du jour où la partie lésée a eu connaissance du dommage ainsi que la personne tenue à réparation et, dans tous les cas, par dix ans à compter du jour où le fait dommageable s’est produit ou a cessé.![endif]&gt;![if&gt; Ces deux dispositions sont entrées en vigueur le 1 er janvier 2020. Jusqu’au 31 décembre 2019, l’ancien art. 52 al. 3 LAVS prévoyait que le droit à la réparation se prescrivait deux ans après que la caisse de compensation compétente a eu connaissance du dommage et, dans tous les cas, cinq ans après la survenance du dommage. En renvoyant aux nouvelles dispositions du CO relatives à la prescription, le nouvel art. 52 al. 3 LAVS porte le délai de prescription relatif de deux à trois ans et le délai de prescription absolu de cinq à dix ans. En outre, le délai absolu de prescription ne commence plus à courir à la survenance du dommage mais le jour où le fait dommageable s’est produit ou a cessé, ce qui inclut les dommages causés par une omission, les dommages survenant de manière répétée et les dommages résultant d’une action prolongée dans le temps. Les autres aspects de la prescription, notamment les motifs d’empêchement ou de suspension et les actes interruptifs, sont régis par les art. 130ss CO (Message relatif à la modification du code des obligations [droit de la prescription] du 29 novembre 2013, FF 2014 221, spéc. pp. 237 et 260). S’agissant de déterminer le droit de la prescription applicable, l’art. 49 al. 1 Titre final CC (Code civil suisse du 10 décembre 1907 ; RS 210), ici pertinent, règle de manière générale les questions de droit transitoire en matière de prescription et a été réécrit lors de la révision du droit de la prescription (FF 2014 221, 230 s.). Selon cette disposition,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w:t>
      </w:r>
    </w:p>
    <w:p>
      <w:r>
        <w:rPr>
          <w:b/>
        </w:rPr>
        <w:t>E. 3.2</w:t>
      </w:r>
    </w:p>
    <w:p>
      <w:r>
        <w:t>Selon la jurisprudence rendue à propos de l’ancien art. 52 al. 3 LAVS,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C’est à ce moment que le délai relatif commence à courir. En cas de faillite, le moment de la connaissance du dommage correspond en règle générale à celui du dépôt de l’état de collocation ou celui de la publication de la suspension de la liquidation de la faillite faute d’actifs (ATF 129 V 193 consid. 2.3). Quant au moment de la survenance du dommage, il s’agit du moment où l’on doit admettre que les cotisations dues ne peuvent plus être recouvrées pour des motifs juridiques ou des motifs de fait. Ainsi, en cas de faillite, en raison de l’impossibilité pour la caisse de récupérer les cotisations dans la procédure ordinaire de recouvrement, le dommage subi par la caisse est réputé être survenu le jour de la faillite ; le jour de la survenance du dommage marque celui de la naissance de la créance en réparation et de la date à partir de laquelle court le délai absolu (ATF 129 V 193 consid. 2.2 ; arrêt du Tribunal fédéral 9C_246/2017 du 18 décembre 2017 consid. 4.2). ![endif]&gt;![if&gt; S’agissant de délais de prescription et non de péremption, cela signifie qu’ils ne sont pas sauvegardés une fois pour toutes avec la décision relative aux dommages-intérêts ; le droit à la réparation du dommage peut donc aussi se prescrire durant la procédure d’opposition ou la procédure de recours qui s’ensuit. Tandis que le juge ne peut interrompre la prescription que par une ordonnance ou une décision, « chaque acte judiciaire des parties » suffit à produire cet effet (art. 138 al. 1 CO).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(arrêt du Tribunal fédéral 9C_289/2009 du 19 mai 2010 consid. 4.2 et les références citées). La prescription du droit à la réparation du dommage vis-à-vis de l’organe employeur ne peut être interrompue que par des actes qui se rapportent à la créance. Les actes concernant la créance vis-à-vis de l’employeur n’engagent aucun effet interruptif de délai. En outre, l’art. 136 CO ne s’applique pas à l’organe tenu subsidiairement à la réparation de l’art. 52 LAVS, de sorte que les actes interruptifs de la prescription contre la personne morale (débiteur primaire) ne peuvent lui être opposés (ATF 141 V 487 consid. 4).</w:t>
      </w:r>
    </w:p>
    <w:p>
      <w:r>
        <w:rPr>
          <w:b/>
        </w:rPr>
        <w:t>E. 3.3</w:t>
      </w:r>
    </w:p>
    <w:p>
      <w:r>
        <w:t>S’agissant des actes interruptifs de prescription, il résulte de la jurisprudence rendue à propos de l’art. 52 al. 3 aLAVS les éléments qui suivent.![endif]&gt;![if&gt; Les délais de prescription sont interrompus par les actes énumérés à l’art. 135 CO (applicable par analogie) ainsi que par tous les actes adéquats par lesquels la créance en dommages-intérêts est invoquée de manière appropriée à l’encontre du débiteur (arrêt du Tribunal fédéral 9C_641/2020 du 30 mars 2021 consid. 5.3 et la référence ; arrêt du Tribunal fédéral 9C_400/2020 du 19 octobre 2020 consid. 3.2.1 et la référence). Tant la décision que l’opposition interrompent les délais de prescription (ATF 135 V 74 consid. 4.2.2). La prescription est notamment interrompue par une action ou une exception devant un tribunal (art. 135 ch. 2 CO par analogie) et recommence à courir lorsque le litige devant l'instance saisie est clos (art. 138 al. 1 CO ; ATF 147 III 419 consid. 5.3.2 ; arrêt du Tribunal fédéral 9C_906/2017 du 21 juin 2018 consid. 1.2 ; sur l'application par analogie des dispositions générales selon les art. 135 ss CO, cf. ATF 141 V 487 consid. 2.3 et les références ; ATF 135 V 74 consid. 4.2.1 et les références).</w:t>
      </w:r>
    </w:p>
    <w:p>
      <w:r>
        <w:rPr>
          <w:b/>
        </w:rPr>
        <w:t>E. 3.4</w:t>
      </w:r>
    </w:p>
    <w:p>
      <w:r>
        <w:t>En l’espèce, le prononcé de la faillite, en date du 21 janvier 2019, marque le début du délai de prescription absolu de cinq ans prévu par l’ancien droit. Quant au délai relatif de deux ans (toujours selon l’ancien droit), il court depuis le moment de la connaissance du dommage, soit en l’occurrence, depuis la publication de l’état de collocation, le 16 mars 2020. Contrairement à ce que soutient le recourant, ni le fait d’introduire des poursuites, ni l’exclusion de la société de la FER Genève, ni l’annonce de l’intimée que si un dommage devait être constaté, elle en réclamerait réparation aux organes de la société, ne constituent des circonstances exceptionnelles qui justifieraient de faire courir le délai de prescription avant le dépôt de l'état de collocation, moment qui correspond en règle générale à celui de la connaissance du dommage au sens de l'art. 52 al. 3 LAVS (ATF 129 V 193 consid. 2.3 ; arrêt du Tribunal fédéral 9C_246/2018 du 18 décembre 2017 consid. 4.2 ; ATAS/1065/2022 du 2 décembre 2022 consid. 3.4 ; ATAS/768/2022 du 2 septembre 2022 consid. 3.3 ; ATAS/713/2021 du 30 juin 2021 consid. 6.2). Le fait que la caisse intimée avait connaissance de la situation financière difficile de la société constituait certes un indice que sa créance ne serait probablement pas réglée à temps ou seulement dans une mesure insuffisante. Toutefois, cela ne fixait pas encore de manière définitive quels étaient les biens qui faisaient partie de la masse en faillite. Seule la procédure de faillite a permis de clarifier la situation quant aux actifs et passifs de la société faillie et des chances de recouvrement de l'intimée. À cet égard, le créancier n'est en principe en mesure de connaître le montant des actifs, sa propre collocation dans la liquidation, ainsi que le dividende prévisible avec suffisamment de certitude qu'une fois la procédure de collocation avec dépôt de l'état de collocation et de l'inventaire achevée (cf. ATF 116 V 72 consid. 3c). ![endif]&gt;![if&gt; Ainsi, tant le délai absolu (cinq ans dès le prononcé de la faillite) que le délai relatif (deux ans dès la publication de l’état de collocation) n’étaient pas échus lorsque le nouveau droit de la prescription est entré en vigueur au 1 er janvier 2020, de sorte que c’est le nouveau droit qui s’applique. En l’occurrence, en demandant la réparation du dommage au recourant le 22 décembre 2021, l’intimée a valablement interrompu la prescription relative de trois ans. Quant au délai de prescription absolue, il n’est pas non plus échu.</w:t>
      </w:r>
    </w:p>
    <w:p>
      <w:r>
        <w:rPr>
          <w:b/>
        </w:rPr>
        <w:t>E. 4</w:t>
      </w:r>
    </w:p>
    <w:p>
      <w:r>
        <w:t>L’action en réparation du dommage n’étant pas prescrite, il convient à présent d’examiner si les autres conditions de la responsabilité de l’art. 52 LAVS sont réalisées.![endif]&gt;![if&gt;</w:t>
      </w:r>
    </w:p>
    <w:p>
      <w:r>
        <w:rPr>
          <w:b/>
        </w:rPr>
        <w:t>E. 4.1</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dommage.![endif]&gt;![if&gt; Selon la jurisprudence, si l'employeur est une personne morale, la responsabilité peut s'étendre, à titre subsidiaire, aux organes qui ont agi en son nom, notamment quand la personne morale n'existe plus au moment où la responsabilité est engagée (ATF 123 V 12 consid. 5b ; ATF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w:t>
      </w:r>
    </w:p>
    <w:p>
      <w:r>
        <w:rPr>
          <w:b/>
        </w:rPr>
        <w:t>E. 4.2</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4b).![endif]&gt;![if&gt;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arrêts du Tribunal fédéral 9C_344/2011 du 3 février 2012 consid. 4.3 ; 9C_289/2009 du 19 mai 2010 consid. 6.2).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(arrêts du Tribunal fédéral 9C_320/2018 du 20 septembre 2018 consid. 4.2 ; 9C_338/2007 du 21 avril 2008 consid. 3.1). À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des assurances H 19/07 du 10 décembre 2007 consid. 4.1).</w:t>
      </w:r>
    </w:p>
    <w:p>
      <w:r>
        <w:rPr>
          <w:b/>
        </w:rPr>
        <w:t>E. 4.3</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3.2).![endif]&gt;![if&gt;</w:t>
      </w:r>
    </w:p>
    <w:p>
      <w:r>
        <w:rPr>
          <w:b/>
        </w:rPr>
        <w:t>E. 4.4</w:t>
      </w:r>
    </w:p>
    <w:p>
      <w:r>
        <w:t>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os 8016 et 8017).![endif]&gt;![if&gt; Par arrêt du 30 janvier 2020 ( ATAS/79/2020 ), la chambre de céans a jugé qu’il n’existait pas de base légale suffisante pour rechercher les employeurs ou leurs organes pour le dommage résultant du défaut de paiement des cotisations dues en vertu de la loi instituant une assurance en cas de maternité et d'adoption du 21 avril 2005 (LAMat - J 5 07). Selon l’art. 11A LAMat, entré en vigueur le 1 er février 2023, l’employeur qui, intentionnellement ou par négligence grave, n’observe pas des prescriptions et cause ainsi un dommage au fonds cantonal de compensation de l’assurance-maternité ou à la caisse de compensation AVS est tenu de le réparer. L’art. 52 de la loi sur l’assurance-vieillesse et survivants s’applique par analogie.</w:t>
      </w:r>
    </w:p>
    <w:p>
      <w:r>
        <w:rPr>
          <w:b/>
        </w:rPr>
        <w:t>E. 5</w:t>
      </w:r>
    </w:p>
    <w:p>
      <w:r>
        <w:t>En l'espèce, le recourant était administrateur de la société, avec signature individuelle depuis l’inscription de la société au RC jusqu’à sa radiation. Il disposait ainsi de la qualité d'organe formel de la société à teneur du RC durant toute la période pendant laquelle les cotisations sociales étaient en souffrance (soit d’avril à juillet 2016, d’avril à août 2017 et de janvier à décembre 2018), ce qui n’est pas contesté. Conformément aux dispositions précitées, il répond du dommage à titre subsidiaire. Dans sa réplique, le recourant fait valoir qu’au moment où il a décidé de ne pas remplir son devoir de versement, il avait des raisons sérieuses et objectives de penser qu’il pourrait s’acquitter des cotisations dues dans un délai raisonnable. Il n’expose toutefois pas quelles seraient ces raisons, étant rappelé que, selon la jurisprudence, il faut des éléments concrets et objectifs selon lesquels on peut admettre que la situation économique de la société se stabilisera dans un laps de temps déterminé. C’est le lieu de préciser que la société a eu des difficultés à régler ses cotisations depuis 2015 et que l’intimée l’avait alors menacée de déposer une plainte pour soustraction de cotisations. Suite à cela, la société avait fait l’objet de divers rappels, sommations et poursuites. Il appert ainsi que le recourant a commis une faute grave en laissant en souffrance les créances de la caisse intimée pendant plusieurs années, étant précisé que ces manquements sont sans aucun doute en rapport de causalité naturelle et adéquate avec le dommage subi par l’intimée.![endif]&gt;![if&gt; Le recourant soutient enfin que la décision entreprise contiendrait des incohérences s’agissant du montant du dommage. Or, dans sa réponse, la caisse intimée a détaillé l’ensemble des calculs ayant abouti aux montants mentionnés dans les différentes pièces au dossier. Elle a notamment expliqué, pièces à l’appui, que le montant du dommage s’élevait à CHF 71'194.35, duquel il convenait de retrancher les versements effectués par le recourant du 3 février au 11 juillet 2022, soit au total CHF 8'500.-. Le montant ainsi obtenu, soit CHF 62'694.35, correspond aux pièces au dossier, de sorte qu’il doit être confirmé. On précisera, enfin, que ce montant ne comprend pas le dommage lié au non-paiement des cotisations de la LAMat, ce qui est conforme à la jurisprudence de la chambre de céans. La décision en réparation ayant été rendue antérieurement au 1 er février 2023, l’art. 11A LAMat ne s’applique pas au cas d’espèce.</w:t>
      </w:r>
    </w:p>
    <w:p>
      <w:r>
        <w:rPr>
          <w:b/>
        </w:rPr>
        <w:t>E. 6</w:t>
      </w:r>
    </w:p>
    <w:p>
      <w:r>
        <w:t>Au vu de ce qui précède, le recours doit être rejeté.![endif]&gt;![if&gt; Pour le surplus, la procédure est gratuite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