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A/1201/2022 vom 9. Juli 2024</w:t>
      </w:r>
    </w:p>
    <w:p>
      <w:r>
        <w:t>GE Cour de justice, 2024-07-09, FR</w:t>
      </w:r>
    </w:p>
    <w:p>
      <w:r>
        <w:rPr>
          <w:b/>
        </w:rPr>
        <w:t xml:space="preserve">Quelle: </w:t>
      </w:r>
      <w:r>
        <w:t>https://mcp.opencaselaw.ch/entscheid/ge_gerichte_A_1201_2022</w:t>
      </w:r>
    </w:p>
    <w:p>
      <w:r>
        <w:t>FR: GE_GERICHTE A/1201/2022 du 9 juillet 2024</w:t>
      </w:r>
    </w:p>
    <w:p>
      <w:r>
        <w:t>IT: GE_GERICHTE A/1201/2022 del 9 luglio 2024</w:t>
      </w:r>
    </w:p>
    <w:p>
      <w:pPr>
        <w:pStyle w:val="Heading2"/>
      </w:pPr>
      <w:r>
        <w:t>Regeste</w:t>
      </w:r>
    </w:p>
    <w:p>
      <w:r>
        <w:t>AMÉNAGEMENT DU TERRITOIRE ET DROIT PUBLIC DES CONSTRUCTIONS;CONSTRUCTION ET INSTALLATION;TRAVAUX DE CONSTRUCTION;PERMIS DE CONSTRUIRE;INSTALLATION DE TÉLÉCOMMUNICATION;ANTENNE;DROIT À L'ANTENNE;RAYONNEMENT ÉLECTROMAGNÉTIQUE;ORDONNANCE SUR LA PROTECTION CONTRE LE RAYONNEMENT NON IONISANT;VALEUR LIMITE(EN GÉNÉRAL);PRISE DE POSITION DE L'AUTORITÉ;DROIT D'ÊTRE ENTENDU;CONSTATATION DES FAITS;MAXIME INQUISITOIRE;LIMITATION DES ÉMISSIONS;RADIOCOMMUNICATION;TÉLÉPHONE MOBILE | Confirmation du jugement du TAPI portant sur une autorisation d'installer un groupe de six antennes conventionnelles pour téléphonie mobile fixées sur un mât sur la superstructure d'un bâtiment. Respect du droit de l'environnement, en particulier en matière de rayonnement non ionisant. Confirmation des valeurs calculées (VLInst) en relation avec la valeur limite de l'installation. Recours rejeté. | LPA.14; Cst.29.al2; LPA.61; LPA.19; LPA.20; ORNI.3.al3; LPE.1; LPE.7; LPE.11; LPE.12; LPE.13; ORNI.4.al1; ORNI.1; ORNI.3.al3; ORNI.2.al1; ORNI.4.al1; ORNI.13.al2; ORNI.14; ORNI.11; ORNI.12; LPE.38; LPE.42; ORNI.64.letc annexe I; LCI.14.al1; RPBV.4.al1</w:t>
      </w:r>
    </w:p>
    <w:p>
      <w:pPr>
        <w:pStyle w:val="Heading2"/>
      </w:pPr>
      <w:r>
        <w:t>Erwägungen</w:t>
      </w:r>
    </w:p>
    <w:p>
      <w:r>
        <w:rPr>
          <w:b/>
        </w:rPr>
        <w:t>E. 3</w:t>
      </w:r>
    </w:p>
    <w:p>
      <w:r>
        <w:t>ème section dans la cause COMMUNE A______ B______ C______ D______ E______ F______ G______ H______ I______ recourants contre DÉPARTEMENT DU TERRITOIRE - OAC et J______ SA représentée par Me Stephan KRONBICHLER, avocat et K______ SÀRL représentée par RÉGIE DU RHÔNE SA, mandataire intimés _________ Recours contre le jugement du Tribunal administratif de première instance du 12 octobre 2023 ( JTAPI/1109/2023 ) EN FAIT A. a. K______ Sàrl est une société à responsabilité limitée sise à L______, inscrite au registre du commerce du canton de Genève depuis le 6 décembre 2010, et qui a pour but l'achat, la vente, la possession, l'exploitation, la construction et la location d'immeubles et d'une façon générale toutes opérations se rattachant directement ou indirectement à ce but. Elle est propriétaire de la parcelle n° 11’964 de la commune A______ (ci-après : la commune), en zone 4B protégée, sur laquelle se trouve plusieurs bâtiments dont le n° 102 à usage d'habitation et activités à l'adresse ______, rue M______, N______. b. J______ SA (ci-après : J______) est une société anonyme sise à O______, inscrite au RC du canton de Berne depuis le 27 juillet 1998, et qui a pour but notamment d'offrir en Suisse et à l'étranger des services de télécommunication et de radiodiffusion. Elle est titulaire de la concession de service universel dans le domaine des télécommunications. c. B______, C______, D______, E______, F______, G______, H______ et I______ sont domiciliés respectivement au ______, promenade P______ à N______, ______, rue Q______ à N______, ______, promenade P______ à N______, ______, promenade R______ à N______, ______, promenade P______ à N______, ______, rue S______ à N______, ______, rue S______ à N______, ______, esplanade T______ à N______. B. a. Le 28 mai 2020, l'office des autorisations de construire, rattaché au département du territoire (ci-après : le département), a accusé réception d'une requête d'autorisation de construire déposée par J______ en vue de la construction d’une nouvelle installation de communication mobile avec support d'antenne, systèmes techniques et nouvelles antennes, sur le bâtiment n° 102. Cette requête a été enregistrée sous le numéro DD 1______. Cette demande a été publiée dans la Feuille d'avis officielle de la République et canton de Genève (ci-après : FAO) du 5 juin 2020 et a fait l'objet d'une enquête publique publiée dans la FAO du 15 juin au 16 juillet 2020. Une habitante du ______, rue S______ a formulé des observations le 6 juillet 2020. Une liste de 141 signatures d'opposants accompagnait ce courrier. b. Les préavis de la direction des autorisations de construire (ci-après : DAC) du 2 juin 2020, de la direction de l'information du territoire (ci-après : DIT) du 3 juin 2020, de l’office de l’urbanisme (ci-après : SPI) du 10 juin 2020, de la direction infrastructure et de la planification et développement opérations de Genève Aéroport des 16 et 18 juin 2020 étaient favorables. Le service de l’air, du bruit et des rayonnements non ionisants (ci-après : SABRA) a demandé le 10 juin 2020 des pièces complémentaires à fournir. Les travaux dirigés par l’office fédéral de l’environnement (ci-après : OFEV) sur le déploiement de nouvelles antennes liées à la 5G, de type adaptif, et sur la méthodologie de contrôle in situ du rayonnement, étaient en cours. Le canton réservait alors sa position sur la conformité à l'ordonnance sur la protection contre le rayonnement non ionisant du 23 décembre 1999 (ORNI - RS 814.710), ceci dans l'attente du résultat desdits travaux, conformément à l'application du principe de prévention (art. 11 de la loi fédérale sur la protection de l’environnement du 7 octobre 1983 - loi sur la protection de l’environnement, LPE - RS 814.01). La commission des monuments, de la nature et des sites (ci-après : CMNS) a rendu le 23 juin 2020 un préavis favorable sous conditions. L'installation devait être réalisée avec un matériau non réfléchissant et une teinte neutre. Le 1 er juillet 2020, la commune a préavisé défavorablement le projet. Le conseil administratif refusait systématiquement les antennes sises dans les zones d'habitation. Même si les valeurs de l'ORNI étaient respectées, ce type d’installations constituait une source de crainte majeure pour les populations situées à proximité, et provoquait des répercussions psychologiques importantes ainsi que des troubles de la santé. Une optimisation et un regroupement des installations pour plusieurs opérateurs étaient nécessaires. Il était indispensable que le canton planifie un principe directeur permettant de visualiser l’ensemble des installations à venir sur la commune, compte tenu de la multiplication de celles-ci plutôt que de procéder au « coup par coup », au gré des demandes privées. c. Par décision du 30 octobre 2020, le département a refusé de délivrer l'autorisation de construire sollicitée sur la base du moratoire décrété par le canton de Genève sur les antennes et en vertu du principe de prévention. Cette décision a fait l'objet d'un recours porté par J______ devant le Tribunal administratif de première instance (ci-après : TAPI). Ce recours est devenu sans objet à la suite d'un arrêt rendu par la chambre constitutionnelle de la Cour de justice (ci-après: la chambre constitutionnelle) le 15 avril 2021 ( ACST/11/2021 ) et à la reconsidération par le département de sa décision du 30 octobre 2020 ( JTAPI/911/2021 du 8 septembre 2021). Le moratoire ayant été levé, l'instruction la DD 1______ a repris. d. Le 14 septembre 2021, J______ a établi une fiche de données spécifique au site concernant les stations de base pour téléphonie mobile et raccordement sans fil (WLL). Selon ce document : - l’installation visée était un groupe de six antennes fixées sur un mât sur la superstructure du bâtiment sis à N______, ______, rue M______ (fiche complémentaire n° 1) ; - la distance maximale pour former opposition était de 568.68 m (fiche complémentaire n° 2) ; - l’intensité de champ électrique due à l’installation dans les lieux de séjour momentané (ci-après : LSM) les plus chargés (______, rue M______ dans les combles et ______, rue S______ au rez-de-chaussée) était de respectivement, 33.5 V/m atteignant 65% de la valeur limite d’immissions (ci-après : VLI) et 4.6 V/m atteignant 9,1% de la VLI (fiche complémentaire n° 3a) ; - sur les neuf lieux à utilisation sensible (ci-après : LUS) autour de l’implantation des antennes (n os 2 et de 4 à 11), les plus chargés présentaient des valeurs oscillant entre 4.40 et 4.99 V/m sur 5 V/m (fiche complémentaire n° 4a) ; - le LUS n° 11 était situé au ______, chemin U______ où se trouvait l'Église évangélique A______. e. Le 2 février 2022, le SABRA a rendu un préavis favorable sous conditions. L’installation était susceptible de produire des immissions dépassant la valeur limite d’installation (ci-après : VLInst) dans une surface d’un rayon de 85.3 m. Le cadastre des installations de téléphonie mobile montrait que les antennes n'étaient pas associées à un autre groupe d'antennes préalablement autorisé. La fiche de données ne mentionnait pas la présence d'antennes adaptives. Il n'y avait pas de lieux normalement accessibles où la VLI était épuisée. Les parties de la superstructure accessibles pour l'entretien, où la VLI était épuisée, devaient être dûment protégées. L'opérateur avait évalué les immissions sur le bâtiment même et sur les bâtiments voisins. La VLInst y était respectée. Cependant, pour les points d'évaluation n os</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3.2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 ATA/812/2021 du 10 août 2021 consid. 2a ; ATA/1493/2019 précité consid. 3b).</w:t>
      </w:r>
    </w:p>
    <w:p>
      <w:r>
        <w:rPr>
          <w:b/>
        </w:rPr>
        <w:t>E. 3.3</w:t>
      </w:r>
    </w:p>
    <w:p>
      <w:r>
        <w:t>En l'espèce, la chambre de céans a rendu, dans la cause A/2247/2022, son arrêt le 21 mai 2024 rejetant le recours de la commune ( ATA/622/2024 ). Même si un recours au Tribunal fédéral devait être déposé, force est de constater que l'autorisation de construire contestée concerne une antenne conventionnelle et non une antenne adaptative comme dans le cadre de la cause A/2247/2022. De plus, il apparaît que les griefs soulevés ne sont pas exactement identiques. Enfin, une suspension serait contraire au principe de célérité et d’économie de procédure. Il n’y a en conséquence pas lieu de prononcer la suspension de la présente procédure.</w:t>
      </w:r>
    </w:p>
    <w:p>
      <w:r>
        <w:rPr>
          <w:b/>
        </w:rPr>
        <w:t>E. 4</w:t>
      </w:r>
    </w:p>
    <w:p>
      <w:r>
        <w:t>Les recourants demandent que J______ démontre que la puissance émettrice de l'installation ne pourrait pas être augmentée à l'avenir et qu'elle respecterait ainsi les exigences en matière de contrôle à long terme du respect des valeurs limites. Ils sollicitent également la mise en œuvre d'un expertise judiciaire et l'audition de Y______ en tant que témoin, aux fins de vérifier l’exactitude des informations disponibles dans la fiche.</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4.2</w:t>
      </w:r>
    </w:p>
    <w:p>
      <w:r>
        <w:t>En l'espèce, dans le cadre de la procédure, les recourants ont produit une analyse de la « conformité ORNI/OFEV de la station de base » en question du 21 avril 2022, puis un « Avis d'expert sur les observations du 28 novembre 2022 de J______ » daté du 31 janvier 2023. Ces deux documents contiennent la prise de position de Y______ sur le dossier. Ces éléments s'ajoutent aux différents échanges d'écritures des parties devant le TAPI et la chambre administrative accompagné du dossier de l'autorité intimée et des différentes pièces produites, parmi lesquelles figurent des photographies du lieu où sont/seront installées les antennes. En outre, il n’apparaît pas que les pièces dont la production est demandée seraient de nature à influencer l’issue du litige conformément aux considérants qui suivent. Ces éléments suffisent à la chambre administrative pour se prononcer sur les griefs soulevés et trancher le litige en toute connaissance de cause, sans qu'il soit nécessaire d'entendre Y______, d'ordonner la production de nouvelles pièces ou encore une expertise. Enfin, sur la problématique de la démonstration par J______ du respect des exigences en matière de contrôle à long terme du respect des valeurs limites, force est de constater que l'objet du litige porte sur le bien-fondé de l’autorisation de construire délivrée par le département. Une telle conclusion étant exorbitante à celui-ci et portant sur des faits futurs, elle n’est pas recevable et devrait en tous les cas être rejetée conformément aux considérants qui suivent. Il ne sera par conséquent pas donné suite aux demandes d'instruction des recourants.</w:t>
      </w:r>
    </w:p>
    <w:p>
      <w:r>
        <w:rPr>
          <w:b/>
        </w:rPr>
        <w:t>E. 5</w:t>
      </w:r>
    </w:p>
    <w:p>
      <w:r>
        <w:t>Les voisins se plaignent d’une violation de leur droit d’être entendus et de la maxime d’office ( recte : inquisitoire) au motif que le TAPI n'aurait pas donné suite aux mesures d'instruction sollicitées et que l'expertise privée de Y______ n'aurait fait l'objet d'aucun examen.</w:t>
      </w:r>
    </w:p>
    <w:p>
      <w:r>
        <w:rPr>
          <w:b/>
        </w:rPr>
        <w:t>E. 5.1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5.2</w:t>
      </w:r>
    </w:p>
    <w:p>
      <w:r>
        <w:t>De jurisprudence constante, la réparation d’une violation du droit d’être entendu en instance de recours est possible lorsque l’autorité saisie dispose du même pouvoir d’examen que l’autorité précédente. Même si la réparation du droit d’être entendu doit rester l’exception, elle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ATA/541/2021 du 25 mai 2021 consid. 2d et les références citées).</w:t>
      </w:r>
    </w:p>
    <w:p>
      <w:r>
        <w:rPr>
          <w:b/>
        </w:rPr>
        <w:t>E. 5.3</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5.4</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5.5</w:t>
      </w:r>
    </w:p>
    <w:p>
      <w:r>
        <w:t>En l'espèce, comme examiné supra ,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Or, c'est exactement ce qu'a retenu le TAPI dans son jugement pour écarter les demandes d'instruction sollicitées par les recourants. En outre, il ressort du considérant en question (consid. 20) que la juridiction inférieure a pris en considération l'expertise privée – laquelle ne constitue qu'un simple allégué d'une partie (ATF 141 IV 369 consid. 6.2 = JdT 2016 IV 160 et les références citées ; ATA/731/2022 du 12 juillet 2022 consid. 5) – dans le cadre de l'examen de la problématique, puisque le TAPI précise que « l'instance spécialisée a également répondu aux points soulevés par Y______ dans son analyse du 21 avril 2022 concernant les LUS n os 5,6 et 11 ». Par ailleurs et comme analysé ci-dessus, les mesures d'instruction requises n'apparaissent pas nécessaires compte tenu de l'ensemble des documents figurant au dossier. En toute hypothèse, pour les raisons développées ci-après et compte tenu du fait que le TAPI et la chambre administrative disposent du même pouvoir d’examen portant sur les faits et le droit, à l’exclusion de l’opportunité (art. 61 al. 1 et 2 LPA), une éventuelle violation peut être réparée par la chambre de céans. Le grief est mal fondé.</w:t>
      </w:r>
    </w:p>
    <w:p>
      <w:r>
        <w:rPr>
          <w:b/>
        </w:rPr>
        <w:t>E. 6</w:t>
      </w:r>
    </w:p>
    <w:p>
      <w:r>
        <w:t>Les recourants font grief au TAPI d’avoir constaté les faits de façon inexacte, et commis un déni de justice. Le TAPI n’aurait pas précisé que l'installation litigieuse concerne des antennes conventionnelles et non adaptatives. Il était également faux de retenir que le SABRA serait « parvenu aux mêmes résultats que l'Opérateur, avec les mêmes paramètres » au vu des conclusions auxquelles l'expert privé était parvenu.</w:t>
      </w:r>
    </w:p>
    <w:p>
      <w:r>
        <w:rPr>
          <w:b/>
        </w:rPr>
        <w:t>E. 6.1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6.2</w:t>
      </w:r>
    </w:p>
    <w:p>
      <w:r>
        <w:t>En l'occurrence, il est exact que le jugement attaqué ne mentionne pas que l'installation litigieuse concerne des antennes conventionnelles, ce qui ressort effectivement du préavis du SABRA établi le 2 février 2022. Toutefois, les recourants ne tirent aucune conséquence de l'absence de cette mention dans le jugement attaqué, se limitant à alléguer qu'une nouvelle autorisation de construire devrait être sollicitée si l'opérateur souhaite exploiter cette antenne en mode adaptatif. De plus, le TAPI a indiqué sur quels faits il avait fondé sa décision. Ne pas retenir les allégations de l’expert privé comme des faits établis ne relève pas d’un mauvais établissement des faits mais de l’appréciation des moyens de preuve offerts par les parties, qui sera examinée dans les considérants qui suivent. Mal fondé, le grief sera écarté.</w:t>
      </w:r>
    </w:p>
    <w:p>
      <w:r>
        <w:rPr>
          <w:b/>
        </w:rPr>
        <w:t>E. 7</w:t>
      </w:r>
    </w:p>
    <w:p>
      <w:r>
        <w:t>Les recourants soutiennent que le TAPI ne pouvait pas retenir que l'Église évangélique A______ ne constituait pas un LUS sans aucun acte d'instruction. De plus, la fiche de données spécifique au site ne mentionnerait aucun balcon ou terrasse privative alors que la VLInst y serait sans doute dépassée sur plusieurs d'entre elles, notamment les LUS n os 4, 5, 9, 10 et 11.</w:t>
      </w:r>
    </w:p>
    <w:p>
      <w:r>
        <w:rPr>
          <w:b/>
        </w:rPr>
        <w:t>E. 7.1</w:t>
      </w:r>
    </w:p>
    <w:p>
      <w:r>
        <w:t>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 OFEV, LUS, dernière modification le 26 juin 2024, https://www.bafu.admin.ch/bafu/fr/home/themes/ electrosmog/info-specialistes/mesures-contre-l-electrosmog/lieux-a-utilisation-sensible--lus-html, consulté le 2 juillet 2023). Les églises, sous réserve qu'il ne s'agisse pas de poste de travail permanent à l'intérieur de bâtiments, les cages d'escaliers, les cabinets de débarras, caves, combles et autres pièces de service qui ne sont pas qualifiées pour un séjour à long terme de personne, les terrasses panoramiques, les balcons et les terrasses en attique ne sont pas considérés comme des LUS (ATF 128 II 378 ; OFEV, LUS, dernière modification le 26 juin 2024, https://www.bafu.admin.ch/bafu/fr/home/themes/ electrosmog/info-specialistes/mesures-contre-l-electrosmog/lieux-a-utilisation-sensible-lus--html, consulté le 2 juillet 2023).</w:t>
      </w:r>
    </w:p>
    <w:p>
      <w:r>
        <w:rPr>
          <w:b/>
        </w:rPr>
        <w:t>E. 7.2</w:t>
      </w:r>
    </w:p>
    <w:p>
      <w:r>
        <w:t>En l'espèce, la question de savoir si l'Église évangélique A______ constitue bien un LUS au sens de l'art. 3 al. 3 ORNI peut souffrir de rester indécise dans la mesure où celui-ci a été évalué selon la fiche de données spécifique au site. En effet, il s'agit du LUS n° 11 dont il apparaît que la VLInst serait respectée (4.99 V/m alors que la limite légale est de 5.0 V/m selon l'art. 64 let. c annexe I ORNI). Ce point sera discuté ci-dessous. Le fait que l'ancien art. 3 aRPRNI – dont les recourants se prévalent – prévoyait expressément que les balcons et terrasses privatives constituaient des LUS ne leur est d'aucun secours, la protection contre les immissions des installations de téléphonie mobile étant réglée de manière exhaustive dans l'ORNI, qui définit la notion de LUS et en exclut les balcons et terrasses. Les griefs sont infondés.</w:t>
      </w:r>
    </w:p>
    <w:p>
      <w:r>
        <w:rPr>
          <w:b/>
        </w:rPr>
        <w:t>E. 8</w:t>
      </w:r>
    </w:p>
    <w:p>
      <w:r>
        <w:t>Les recourants se plaignent que la VLInst des LUS n os 5, 6 et 11 violerait les art. 3 al. 3 let. a et 11 al. 2 let. c ch. 2 ORNI, 63 et 64 let. c annexe I ORNI et 14 LCI.</w:t>
      </w:r>
    </w:p>
    <w:p>
      <w:r>
        <w:rPr>
          <w:b/>
        </w:rPr>
        <w:t>E. 8.1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8.2</w:t>
      </w:r>
    </w:p>
    <w:p>
      <w:r>
        <w:t>L’ORNI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de l'ordonnance dans les LUS (ch. 15 annexe 1 ORNI).</w:t>
      </w:r>
    </w:p>
    <w:p>
      <w:r>
        <w:rPr>
          <w:b/>
        </w:rPr>
        <w:t>E. 8.3</w:t>
      </w:r>
    </w:p>
    <w:p>
      <w:r>
        <w:t>La notion de LUS a déjà été définie plus haut.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 ATA/622/2024 précité consid. 7.7.1)</w:t>
      </w:r>
    </w:p>
    <w:p>
      <w:r>
        <w:rPr>
          <w:b/>
        </w:rPr>
        <w:t>E. 8.4</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 6 octobre 2020 consid. 3.1).</w:t>
      </w:r>
    </w:p>
    <w:p>
      <w:r>
        <w:rPr>
          <w:b/>
        </w:rPr>
        <w:t>E. 8.5</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w:t>
      </w:r>
    </w:p>
    <w:p>
      <w:r>
        <w:rPr>
          <w:b/>
        </w:rPr>
        <w:t>E. 8.6</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8.7</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1 ère phr.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8.8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 En effet, c'est pour prendre en compte cette incertitude que des mesures de réception doivent être effectuées après la mise en service de l'installation si, selon la prévision calculée, 80 % de la valeur limite de l'installation est atteinte à un LUS (complément ch. 2.1.8 ; arrêt du Tribunal fédéral 1A.148/2002 du 12 août 2003 consid. 4.3.1 s.). Si, sur la base de ces mesures, il apparaît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 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8.9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8.10</w:t>
      </w:r>
    </w:p>
    <w:p>
      <w:r>
        <w:t>La Confédération surveille l’application de la LPE (art. 38 al. 1 LPE). Elle coordonne les mesures d’exécution des cantons ainsi que celles de ses propres établissements et exploitations (art. 38 al. 2 LPE). Conformément aux art. 38 al. 3 LPE et 12 al. 2 2 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 bafu.admin.ch/bafu/fr/home/themes/electrosmog/info-specialistes/mesures-contre-l-electrosmog/telephonie-mobile--aides-a-lexecution-de-l-orni.html.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w:t>
      </w:r>
    </w:p>
    <w:p>
      <w:r>
        <w:rPr>
          <w:b/>
        </w:rPr>
        <w:t>E. 8.11</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w:t>
      </w:r>
    </w:p>
    <w:p>
      <w:r>
        <w:rPr>
          <w:b/>
        </w:rPr>
        <w:t>E. 8.12</w:t>
      </w:r>
    </w:p>
    <w:p>
      <w:r>
        <w:t>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(Recommandation OFEFP 2002,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Différentes notions techniques sont définies dans cette directive fédérale. Il en va ainsi par exemple du mode d’exploitation déterminant ou de la direction (horizontale et verticale) d’émission des antennes pouvant impliquer l’autorisation d’un domaine angulaire pour chacune des deux directions ( ibid ., p. 18). Les caractéristiques émettrices des antennes sont décrites par le diagramme d’antenne qui fournit des renseignements quantitatifs sur l’effet directionnel d’une antenne (intensité du rayonnement en fonction de l’angle par rapport à la direction principale de propagation), étant précisé qu’il existe généralement un diagramme pour le plan horizontal et un autre pour le plan vertical ( ibid ., p. 24). La direction principale de propagation (azimut) se définit par rapport au nord et représente un angle croissant dans le sens des aiguilles d’une montre : 0° pour le N, 90° pour E, 180° pour S et 270° pour O ; on indique un angle clairement défini (en °) ou un domaine angulaire (de …° à …° ; ibid ., p. 34). L’intensité de champ électrique (en V/m) dû à l’antenne n, (En), au lieu de séjour considéré, est calculée suivant une formule précisée dans la recommandation ( ibid ., p. 25 et 40). Cette formule intègre les paramètres suivants : la distance directe entre le lieu considéré et l’antenne n (en m), la puissance émettrice requise pour l’antenne n (ERPn, en W), l’atténuation directionnelle (coefficient d’atténuation) et l’amortissement par les bâtiments (coefficient d’amortissement). Ensuite, on calcule l’intensité de champ électrique due à l’installation en un lieu donné (Einstallation), en additionnant les contributions individuelles selon une autre formule indiquée dans la recommandation ( ibid ., p. 25 ss et p. 40).</w:t>
      </w:r>
    </w:p>
    <w:p>
      <w:r>
        <w:rPr>
          <w:b/>
        </w:rPr>
        <w:t>E. 8.13</w:t>
      </w:r>
    </w:p>
    <w:p>
      <w:r>
        <w:t>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 ibid , p. 9). La Recommandation OFEFP 2002 contient les instructions sur la manière de remplir la fiche de données spécifique au site.</w:t>
      </w:r>
    </w:p>
    <w:p>
      <w:r>
        <w:rPr>
          <w:b/>
        </w:rPr>
        <w:t>E. 8.14</w:t>
      </w:r>
    </w:p>
    <w:p>
      <w:r>
        <w:t>L’annexe 1 de l’ORNI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w:t>
      </w:r>
    </w:p>
    <w:p>
      <w:r>
        <w:rPr>
          <w:b/>
        </w:rPr>
        <w:t>E. 8.15</w:t>
      </w:r>
    </w:p>
    <w:p>
      <w:r>
        <w:t>Selon le ch.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 ATA/434/2024 du 26 mars 2024 consid. 5.2 ;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8.16</w:t>
      </w:r>
    </w:p>
    <w:p>
      <w:r>
        <w:t>Par mode d’exploitation déterminant, on entend le mode d’exploitation dans lequel un maximum de conversations et de données est transféré, l’émetteur étant au maximum de sa puissance (ch. 63 al. 1 annexe 1 ORNI).</w:t>
      </w:r>
    </w:p>
    <w:p>
      <w:r>
        <w:rPr>
          <w:b/>
        </w:rPr>
        <w:t>E. 8.17</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 ATA/1060/2023 du 26 septembre 2023 consid. 5.2. et l'arrêt cité).</w:t>
      </w:r>
    </w:p>
    <w:p>
      <w:r>
        <w:rPr>
          <w:b/>
        </w:rPr>
        <w:t>E. 8.18</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 ATA/70/2024 du 23 janvier 2024 consid. 4.2 et l'arrêt cité).</w:t>
      </w:r>
    </w:p>
    <w:p>
      <w:r>
        <w:rPr>
          <w:b/>
        </w:rPr>
        <w:t>E. 8.19</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8.20</w:t>
      </w:r>
    </w:p>
    <w:p>
      <w:r>
        <w:t>En l'espèce, le projet de construction porte sur l'installation d'un groupe de six antennes fixées sur un mât sur la superstructure du bâtiment sis à N______, ______, rue M______. Il s’agit d’un groupe d’antennes (ch. 62 al. 1 annexe 1 ORNI) conventionnelles qui doit être qualifié d’installation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 LUS n° 5, se trouvant dans la mansarde au ______, rue S______, est de 4.47 V/m. Il s'agit de l'emplacement le plus exposé toujours selon ladite fiche. Il n'y a pas lieu de remettre en cause cette valeur,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du LUS n° 5 telles qu'elles ressortent de la fiche de données spécifiques au site. Les intéressés, dans leurs écritures, se limitent en effet à soutenir que l'intensité de champ électrique du LUS n° 5 serait de 5.29 V/m sans plus de précisions hormis le fait que la VLInst y serait « sans doute dépassée (…) dans la mesure où ces lieux comportent effectivement des balcons/terrasses privatives ». Outre le fait que comme retenu ci-dessus les balcons et terrasses privatives ne constituent pas des LUS au sens de l'ORNI, l'expert privé se limite, quant à lui, à soutenir aboutir à une prévision de 5.29 V/m au lieu de 4.77 V/m à cause « d'une atténuation trop élevée » selon son point de vue. Or, rien dans le dossier ne vient appuyer son analyse. Il n'a d'ailleurs pas détaillé son calcul ni expliqué en quoi l'atténuation directionnelle horizontale (dB) – pour autant que ce soit à cela qu'il ait fait référence – serait trop élevée. Le calcul prévisionnel de l'intensité du champ électrique pour le LUS n° 5 a donc été établi de manière conforme au droit. Pour le LUS n° 6, les recourants arrivent à un calcul prévisionnel de l'intensité du champ électrique de 5.28 V/m voire 5.49 V/m au lieu de 4.98 V/m. L'expert privé considère que le point de mesure utilisé par l'opérateur n'est pas le lieu où le rayonnement est le plus fort. Selon ladite fiche, le LUS n° 6 est la mansarde au ______, rue S______. Il est exact que, selon le plan fourni, le repère du LUS n° 6 se trouve dans le coin de la maison opposé du site de l'antenne. Toutefois, la fiche en question indique bien qu'il s'agit de l'emplacement le plus exposé. Le département a également expliqué, dans ses écritures du 30 septembre 2022, que le repère utilisé par l'expert privé était dénué de fenêtre, ce qui ressort effectivement de la figure 7A reproduite dans son analyse. Or, selon la Recommandation OFEFP 2002, lorsque le lieu de séjour concerné se situe à l’intérieur d’un bâtiment et les antennes à l’extérieur, le rayonnement est plus ou moins amorti selon la nature du matériau qui constitue l’enveloppe du bâtiment ( ibid , p. 25). Il n'apparaît donc pas que l'expert privé ait pris en considération cet amortissement, qui peut aller jusqu'à 15 (dB) suivant le matériau utilisé pour le bâtiment dans ses calculs, qu'il ne détaille d'ailleurs pas. Dans ces circonstances et compte tenu de ces éléments, le LUS n° 6 respecte la VLInst de l’art. 64 let. c annexe 1 ORNI. Enfin, s'agissant du LUS n° 11, les recourants soutiennent que le calcul prévisionnel de l'intensité du champ électrique serait de 5.33 V/m, voire 5.55 V/m, au lieu de 4.99 V/m. Dans son analyse, l'expert privé a repris les données figurant dans la fiche, à savoir une distance horizontale de 44.4 m et un azimut du LUS de 357 o par rapport à l'antenne. Il ressort toutefois des écritures du département du 30 septembre 2022 que le SABRA a vérifié les calculs de l'opérateur pour ce LUS, obtenant avec les mêmes paramètres, les mêmes résultats que ceux figurant dans la fiche de données spécifique au site. Compte tenu de ce contrôle, effectué par le SABRA, autorité spécialisée en la matière réputée capable d'émettre un avis dépourvu de subjectivité et de considérations étrangères aux buts de protection de la loi ainsi que de la certaine retenue que la chambre de céans s’impose lorsque, comme en l’espèce, les normes juridiques font appel appel à des connaissances spécialisées ou particulières en matière de protection de l'environnement, le calcul effectué par l'opérateur – validé par l'instance spécialisée – doit être confirmé. Dans ce contexte et au vu de ces éléments, les conclusions du préavis du SABRA quant au respect des VLI et de la VLInst ne sont pas critiquables et permettent de procéder au calcul de la prévision conformément aux directives précitées de l’OFEV. Elles doivent ainsi être confirmées. En particulier, c’est à raison que le SABRA a estimé que la VLInst était respectée, tout en soulignant que les valeurs calculées pour les LUS n os 4, 5, 6, 8, 9, 10 et 11 dépassaient le 80% de la VLInst qui est in casu de 5 V/m, c’est-à‑dire qu’elles étaient supérieures à 4 V/m (80% de 5 V/m). C’est donc à bon droit que, suivant la Recommandation OFEFP 2002, le SABRA a enjoint à l’opérateur d’effectuer, lors de la réception, des mesurages à ses frais, condition reprise dans la décision litigieuse. Celle-ci intègre, à raison, également la condition posée par le SABRA, selon laquelle les parties de la superstructure accessible pour l’entretien où la VLI est épuisée, doivent être dûment protégées. Au surplus, la jurisprudence récente a encore relevé que des incertitudes et imprécisions sont inhérentes aux calculs des valeurs prévisionnelles de rayonnement. Cela ne signifie pas qu'il sera toléré que le rayonnement effectif, une fois les antennes en fonction, dépasse les valeurs limites prescrites. Mais en amont de la réalisation de l'installation, les valeurs prévisionnelles calculées conformément à la méthode prescrite dans les directives fédérales, font foi en dépit de l'importante marge d'incertitude qui les accompagne (arrêt du Tribunal fédéral 1C_518/2018 du 14 avril 2020 consid. 7.2.2). Par ailleurs, dans son préavis, le SABRA a posé comme autres conditions l’intégration des antennes de cette installation dans le système d’assurance qualité qui permet de surveiller les données d’exploitation. Ce faisant, l’autorité intimée a posé une cautèle permettant d’assurer le respect des valeurs limites. Dans des arrêts récents, le Tribunal fédéral a rappelé que le contrôle effectué par les systèmes d’assurance qualité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systèmes d’assurance qualité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18 juin 2024]). Dans l’arrêt 1C_527/2021 du 13 juillet 2023, l’OFEV a de nouveau été rendu attentif au fait que le contrôle des systèmes d’assurance qualité à l’échelle nationale, déjà exigé en 2019, devait maintenant être effectué rapidement (arrêt 1C_527/2021 du 13 juillet 2023 consid. 7.9 avec renvois). Il convient d’attendre les résultats définitifs de cet examen. Pour l’heure, selon le Tribunal fédéral, il n’y a aucune raison de nier le fonctionnement des systèmes d’assurance qualité (arrêts 1C_45/2023 du 16 janvier 2024 consid. 6.3 ; 1C_481/2022 du 13 novembre 2023 consid. 4.6 avec renvois). Par conséquent, en confirmant l’autorisation querellée sur la base du préavis du SABRA faute d’éléments contraires, le TAPI n’a pas violé l’ORNI. Les griefs tirés de la violation des 1 LPE, art. 3 al. 3 let. a et 11 al. 2 let. c ch. 2 ORNI, 63 et 64 let. c annexe I ORNI et 14 LCI doivent donc être écartés. Entièrement mal fondé, le recours doit ainsi être rejeté.</w:t>
      </w:r>
    </w:p>
    <w:p>
      <w:r>
        <w:rPr>
          <w:b/>
        </w:rPr>
        <w:t>E. 9</w:t>
      </w:r>
    </w:p>
    <w:p>
      <w:r>
        <w:t>Vu l’issue du litige, un émolument de CHF 1'000.- sera mis à la charge des recourants, pris solidairement (art. 87 al. 1 LPA). Une indemnité de procédure de CHF 1'000.- sera allouée à J______, à la charge solidaire des recourants (art. 87 al. 2 LPA), étant précisé que K______ SÀRL ne s'est pas déterminée dans la procédure par-devant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