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A/119/2024 vom 17. März 2025</w:t>
      </w:r>
    </w:p>
    <w:p>
      <w:r>
        <w:t>GE Cour de justice, 2025-03-17, FR</w:t>
      </w:r>
    </w:p>
    <w:p>
      <w:r>
        <w:rPr>
          <w:b/>
        </w:rPr>
        <w:t xml:space="preserve">Quelle: </w:t>
      </w:r>
      <w:r>
        <w:t>https://mcp.opencaselaw.ch/entscheid/ge_gerichte_A_119_2024</w:t>
      </w:r>
    </w:p>
    <w:p>
      <w:r>
        <w:t>FR: GE_GERICHTE A/119/2024 du 17 mars 2025</w:t>
      </w:r>
    </w:p>
    <w:p>
      <w:r>
        <w:t>IT: GE_GERICHTE A/119/2024 del 17 marzo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prévue par la loi (art. 61 let. b LPGA et 89B de la loi sur la procédure administrative du 12 septembre 1985 - LPA - E 5 10) et en temps utile (art. 60 al. 1 LPGA), compte tenu de la suspension des délais pour la période du 18 décembre au 2 janvier inclusivement (art. 38 al. 4 let. c LPGA et art. 89C let. c LPA), le recours est recevable.</w:t>
      </w:r>
    </w:p>
    <w:p>
      <w:r>
        <w:rPr>
          <w:b/>
        </w:rPr>
        <w:t>E. 2</w:t>
      </w:r>
    </w:p>
    <w:p>
      <w:r>
        <w:t>Le litige porte sur la conformité au droit du refus d'octroi des prestations de l'AI à la recourante.</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3.2</w:t>
      </w:r>
    </w:p>
    <w:p>
      <w:r>
        <w:t>En l’occurrence, un éventuel droit à une rente d’invalidité naîtrait au plus tôt en juillet 2023, soit six mois après le dépôt de la demande du 11 janvier 2023 (art. 29 al. 1 LAI), de sorte que les dispositions légales applicables seront citées dans leur nouvelle teneur.</w:t>
      </w:r>
    </w:p>
    <w:p>
      <w:r>
        <w:rPr>
          <w:b/>
        </w:rPr>
        <w:t>E. 4</w:t>
      </w:r>
    </w:p>
    <w:p>
      <w:r>
        <w:t>La recourante affirme être invalide et demande une rente AI entière.</w:t>
      </w:r>
    </w:p>
    <w:p>
      <w:r>
        <w:rPr>
          <w:b/>
        </w:rPr>
        <w:t>E. 4.1</w:t>
      </w:r>
    </w:p>
    <w:p>
      <w:r>
        <w:t>L'assuré a droit à une rente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 art. 28 al. 1 LAI). Une rente au sens de l’art. 28a al. 1 LAI n’est pas octroyée tant que toutes les possibilités de réadaptation au sens de l’art. 8 al. 1 bis et 1 ter LAI n’ont pas été épuisées (art. 28 al. 1 bis LAI).</w:t>
      </w:r>
    </w:p>
    <w:p>
      <w:r>
        <w:rPr>
          <w:b/>
        </w:rPr>
        <w:t>E. 4.2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4.3</w:t>
      </w:r>
    </w:p>
    <w:p>
      <w:r>
        <w:t>En vertu de l’art. 28b LAI,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inférieur à 50%, la quotité de la rente est fixée selon le tableau de l'art. 28b al. 4 LAI (al. 4).</w:t>
      </w:r>
    </w:p>
    <w:p>
      <w:r>
        <w:rPr>
          <w:b/>
        </w:rPr>
        <w:t>E. 4.4</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(art. 28a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5.1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w:t>
      </w:r>
    </w:p>
    <w:p>
      <w:r>
        <w:rPr>
          <w:b/>
        </w:rPr>
        <w:t>E. 5.2</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5.3</w:t>
      </w:r>
    </w:p>
    <w:p>
      <w:r>
        <w:t>L'organe chargé de l'application du droit doit, avant de procéder à l'examen des indicateurs, analyser si les troubles psychiques dûment diagnostiqués conduisent à la constatation d'une atteinte à la santé importante et pertinente en droit de l'AI, c'est-à-dire qui résiste aux motifs dits d'exclusion tels qu'une exagération ou d'autres manifestations d'un profit secondaire tiré de la maladie (ATF 141 V 281 consid. 2.2 ; arrêt du Tribunal fédéral 9C_756/2018 du 17 avril 2019 5.2.2 et la référence).</w:t>
      </w:r>
    </w:p>
    <w:p>
      <w:r>
        <w:rPr>
          <w:b/>
        </w:rPr>
        <w:t>E. 5.4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(ATF 143 V 409 consid. 4.5.3 et 418 consid. 7.1 ; arrêts du Tribunal fédéral 8C_43/2023 du 29 novembre 2023 consid. 5.2 ; 9C_101/2019 du 12 juillet 2019 consid. 4.3 et la référence ; 9C_724/2018 du 11 juillet 2019 consid. 7). En l’absence d’un diagnostic psychiatrique, une telle appréciation n’a pas non plus à être effectuée (arrêt du Tribunal fédéral 9C_176/2018 du 16 août 2018 consid. 3.2.2).</w:t>
      </w:r>
    </w:p>
    <w:p>
      <w:r>
        <w:rPr>
          <w:b/>
        </w:rPr>
        <w:t>E. 5.5</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          catégorie « Degré de gravité fonctionnel » (ATF 141 V 281 consid. 4.3) : A.           complexe « Atteinte à la santé » (consid. 4.3.1) : expression des éléments pertinents pour le diagnostic (consid. 4.3.1.1), succès du traitement et de la réadaptation ou résistance à cet égard (consid. 4.3.1.2), comorbidités (consid. 4.3.1.3) ; B.            complexe « Personnalité » (diagnostic de la personnalité, ressources personnelles; consid. 4.3.2) ; C.            complexe « Contexte social » (consid. 4.3.3) ; -          catégorie « Cohérence » (aspects du comportement; consid. 4.4) :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5.6</w:t>
      </w:r>
    </w:p>
    <w:p>
      <w:r>
        <w:t>Le trouble de l'adaptation est une atteinte à la santé psychique qui n'est, en principe, pas considérée comme une maladie de longue durée et donc potentiellement invalidante. Un trouble de l'adaptation dure rarement plus de six mois (arrêt du Tribunal fédéral 9C_408/2023 du 23 avril 2024 consid. 5.2 et les références). Cependant, selon la CIM-10, le psychiatre peut préciser le diagnostic de trouble de l'adaptation au moyen de sept subdivisions, avec l'ajout d'un quatrième caractère. Ainsi, il peut diagnostiquer par exemple un trouble de l'adaptation, avec réaction dépressive brève (F43.20) ou avec réaction dépressive prolongée (F43.21). Or, à la différence du trouble de l'adaptation avec réaction dépressive brève, le trouble de l'adaptation avec réaction dépressive prolongée (F43.21) peut persister au-delà de six mois. Dès lors, le trouble de l'adaptation peut sous certaines circonstances – qu'il appartient au psychiatre d'établir conformément à la procédure probatoire définie à l'ATF 141 V 281 –, être pertinent pour l'octroi d'une rente de l'assurance-invalidité (arrêt du Tribunal fédéral 9C_408/2023 du 23 avril 2024 consid. 5.2 et les références).</w:t>
      </w:r>
    </w:p>
    <w:p>
      <w:r>
        <w:rPr>
          <w:b/>
        </w:rPr>
        <w:t>E. 5.7</w:t>
      </w:r>
    </w:p>
    <w:p>
      <w:r>
        <w:t>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6.1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6.2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6.3</w:t>
      </w:r>
    </w:p>
    <w:p>
      <w:r>
        <w:t>Sans remettre en cause le principe de la libre appréciation des preuves, le Tribunal fédéral a posé des lignes directrices en ce qui concerne la manière d'apprécier certains types d'expertises ou de rapports médicaux.</w:t>
      </w:r>
    </w:p>
    <w:p>
      <w:r>
        <w:rPr>
          <w:b/>
        </w:rPr>
        <w:t>E. 6.3.1</w:t>
      </w:r>
    </w:p>
    <w:p>
      <w:r>
        <w:t>Selon l'art. 43 al. 1 1 re phrase LPGA, l'assureur examine les demandes, prend d'office les mesures d'instruction nécessaires et recueille les renseignements dont il a besoin. Conformément à l'art. 54a LAI, des SMR interdisciplinaires sont à la disposition des offices AI pour évaluer les conditions médicales du droit aux prestations (al. 1 et 2). Ils établissent les capacités fonctionnelles de l'assuré qui sont déterminantes pour l'AI conformément à l'art. 6 LPGA, pour l'exercice d'une activité lucrative ou pour l'accomplissement des travaux habituels (al. 3). Ils sont indépendants dans l'évaluation médicale des cas d'espèce (al. 4). Fondé sur les données de son service médical, l'office AI sera en mesure de déterminer les prestations à allouer, lesquelles doivent reposer sur des rapports médicaux satisfaisant aux exigences d'une qualité probante (arrêt du Tribunal fédéral 9C_1063/2009 du 22 janvier 2010 consid. 4.2.3). Pour effectuer leurs tâches, les SMR peuvent se prononcer sur dossier (art. 49 al. 1 RAI) ou examiner les assurés au sein du SMR (art. 49 al. 2 RAI). Lors de la détermination des capacités fonctionnelles (art. 54a al. 3 LAI), la capacité de travail attestée médicalement pour l’activité exercée jusque-là et pour les activités adaptées est évaluée et justifiée en tenant compte, qualitativement et quantitativement, de toutes les ressources et limitations physiques, mentales ou psychiques (art. 49 al. 1 bis RAI). L'OAI peut également confier à un médecin expert indépendant la charge d'une expertise (art. 59 al. 3 LAI et 44 LPGA). Selon cette dernière disposition, si l'assureur doit recourir aux services d'un expert indépendant pour élucider les faits, il donne connaissance du nom de celui-ci aux parties. Celles-ci peuvent récuser l'expert pour des raisons pertinentes et présenter des contre-propositions. À noter que l'art. 43 al. 2 LPGA prévoit que l'assuré doit se soumettre à des examens médicaux ou techniques si ceux-ci sont nécessaires à l'appréciation du cas et qu'ils peuvent être raisonnablement exigés. Ainsi, si l'art. 44 LPGA prévoyant les conditions de mise en œuvre d'une expertise externe indépendante ne s'applique pas aux examens médicaux réalisés par les SMR (ATF 135 V 254 consid. 3.4), le juge peut néanmoins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 142 V 58 consid. 5.1 ; 139 V 225 consid. 5.2 ; ATF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w:t>
      </w:r>
    </w:p>
    <w:p>
      <w:r>
        <w:rPr>
          <w:b/>
        </w:rPr>
        <w:t>E. 6.3.2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6.3.3</w:t>
      </w:r>
    </w:p>
    <w:p>
      <w:r>
        <w:t>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6.4</w:t>
      </w:r>
    </w:p>
    <w:p>
      <w:r>
        <w:t>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w:t>
      </w:r>
    </w:p>
    <w:p>
      <w:r>
        <w:rPr>
          <w:b/>
        </w:rPr>
        <w:t>E. 7.1</w:t>
      </w:r>
    </w:p>
    <w:p>
      <w:r>
        <w:t>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(ATF 99 V 98 consid. 4 et les arrêts cités ; arrêt du Tribunal fédéral 9C_259/2018 du 25 juillet 2018 consid. 4.2).</w:t>
      </w:r>
    </w:p>
    <w:p>
      <w:r>
        <w:rPr>
          <w:b/>
        </w:rPr>
        <w:t>E. 7.2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7.3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Cst. (SVR 2001 IV n. 10 p. 28 consid. 4b), la jurisprudence rendue sous l’empire de l’art. 4 de l'ancienne Constitution fédérale du 29 mai 1874 (aCst.) étant toujours valable (ATF 124 V 90 consid. 4b ; 122 V 157 consid. 1d).</w:t>
      </w:r>
    </w:p>
    <w:p>
      <w:r>
        <w:rPr>
          <w:b/>
        </w:rPr>
        <w:t>E. 8</w:t>
      </w:r>
    </w:p>
    <w:p>
      <w:r>
        <w:t>En l'espèce, la recourante conteste l'absence d'atteinte à la santé invalidante retenue par l'intimé et demande l'octroi des prestations AI et d'une rente entière d'invalidité. Pour rendre sa décision du 24 novembre 2023, l'intimé s'est fondé sur le rapport du médecin psychiatre du SMR, le Dr E______. C'est donc la valeur probante de ce document qu'il convient d'examiner. À titre liminaire, il y a lieu de relever que le médecin psychiatre du SMR a réalisé un examen sur la personne au sens de l'art. 49 al. 2 RAI. Le cas d'espèce ne présentait pas de caractère interdisciplinaire, s'agissant d'un examen psychiatrique, et le SMR avait les ressources nécessaires pour l'effectuer, comme il l'a d'ailleurs fait, de sorte que l'intimé pouvait procéder par un examen au sens de l'art. 49 al. 2 RAI. Le rapport du 5 octobre 2023 ne constitue pas une expertise au sens de l'art. 44 LPGA, ce qui ne signifie pas que sa valeur probante doive être niée. Elle doit être examinée conformément aux réquisits jurisprudentiels généraux. En l'occurrence, le rapport du médecin psychiatre du SMR est fondé sur l'ensemble du dossier, récapitulé au début du rapport. Il comprend par ailleurs une anamnèse fouillée incluant notamment des anamnèses familiale, scolaire et professionnelle, psychosociale et psychiatrique, ainsi qu'un examen du contexte psychosocial. Il rapporte également les plaintes de la recourante et comporte une description de sa vie quotidienne. Il examine ensuite de manière détaillée le status psychiatrique. Après avoir exposé tous ces éléments, il procède à l'aide de ceux-ci à une analyse complète de la situation médicale sur le plan psychiatrique de la recourante et aboutit à des diagnostics et une appréciation de la capacité de travail de la recourante clairs, bien motivés et convaincants. Finalement, il analyse, conformément aux exigences de la jurisprudence, les indicateurs jurisprudentiels pertinents. Au vu de ce qui précède, le rapport du SMR répond aux critères jurisprudentiels pour que lui soit reconnue une pleine valeur probante. En synthèse, ce rapport exclut les diagnostics de trouble dépressif récurrent, épisode actuel sévère et de personnalité dépendante et retient uniquement les diagnostics de trouble de l'adaptation, avec réaction dépressive prolongée (F43.21) et de troubles mentaux et trouble du comportement liés à l'utilisation de l'alcool, syndrome de dépendance, utilisation continue (F10.25), tous deux sans répercussion sur la capacité de travail. Aucun diagnostic sur le plan psychiatrique avec répercussion durable sur la capacité de travail n'a donc été retenu. La recourante conteste les éléments retenus par le médecin psychiatre du SMR, notamment par rapport à sa journée type. Elle lui reproche de ne pas avoir pris en considération ses douleurs chroniques et son épuisement physique et psychique. Elle affirme finalement que le diagnostic de trouble dépressif récurrent, épisode actuel sévère a été écarté à tort. Elle affirme ainsi que les faits retenus ne correspondraient pas à la réalité. Elle n'avait plus de réseau social amical, ni d'activité pour elle-même, n'allait plus au golf depuis quatre à cinq mois, ne pratiquait plus le tennis depuis deux ans, le patinage artistique depuis une année et la danse country depuis plus d'un mois. La femme de ménage venait trois heures par semaine en raison de ses difficultés à accomplir certaines tâches ménagères. Il était erroné d'affirmer qu'elle était capable de ressentir du plaisir et de la joie. Ses difficultés, sociales mais également physiques et psychiques, étaient principalement en relation avec la prise en charge quasiment à temps complet de son fils en situation de handicap. Son dévouement total pour son fils avait des répercussions concrètes sur sa santé psychique : elle était fragilisée, épuisée, profondément triste, régulièrement sujette à des crises de panique, des douleurs à l'estomac, des difficultés respiratoires, angoissée en permanence et ce depuis deux ans. Il y avait une réduction de son énergie, une augmentation de sa fatigabilité, un épuisement permanent, une incapacité à fonctionner, à sortir et des difficultés d'endormissement à répétition. Elle subissait par ailleurs des douleurs chroniques dans tout le corps (dos, genoux, épaule gauche), notamment dues à la manipulation de son fils. Vu les éléments qu'elle avait apportés à la procédure, le trouble dépressif récurrent, épisode actuel sévère aurait dû être retenu. Cependant, il ressort du rapport du médecin psychiatre du SMR qu'il a investigué et analysé les éléments mis en cause par la recourante, sur la base du dossier et de l'examen de la personne effectué. Le médecin psychiatre du SMR indique en outre clairement et précisément pourquoi les diagnostics diffèrent de ceux de la psychiatre de la recourante et pourquoi il a retenu l'absence de caractère incapacitant de ceux-ci. Ainsi, le contexte psychosocial comporte une analyse du réseau social de la recourante, qui a diminué depuis deux ans, soit depuis que son fils est à la maison à plein temps, ce qui concorde d'ailleurs avec les allégations de la recourante dans la présente procédure selon lesquelles ses difficultés sociales sont principalement liées à la prise en charge à temps presque complet de son fils en situation de handicap. La section sur la vie quotidienne détaille son quotidien et ses loisirs, constatant une diminution de ses intérêts, mais pas d'origine psychiatrique, liée au fait que depuis deux ans elle devait quasi continuellement s'occuper de son fils. Dans l'anamnèse psychiatrique, il est notamment relevé l'absence d'attitude antalgique et de ralentissement psychomoteur ; un sentiment de détresse léger avec un discours plaintif, mais largement fluctuant en fonction des sujets abordés ; un discours cohérent ; l'absence de troubles de l'attention, de la concentration et de la mémoire ; des préoccupations concernant l'état de santé de son fils, sa prise en charge, sa probable admission au Centre de Jour, le deuil qu'elle devait faire quant à ce qu'elle projetait pour son fils, ses difficultés relationnelles avec son mari, ses difficultés financières ; l'absence de signes physiques d'anxiété et de crises d'anxiété aiguës à type d'attaques de panique ; s'agissant de la thymie, une humeur et un discours fluctuants en fonction des sujets abordés ; de la tristesse et de la colère en évoquant son investissement pour ses enfants et son mari ; l'existence d'une capacité de ressentir du plaisir et de la joie quand elle évoquait ses relations sociales, ses différentes activités (golf, danse country, méditation, gym, ski, patinage artistique) ; l'absence de diminution marquée des intérêts ou du plaisir pour les activités habituellement agréables sur le plan psychiatrique ; l'absence de réduction de l'énergie ou d'augmentation de la fatigabilité ; malgré la nuit stressante vécue avec l'opération de son père la veille, l'absence de symptômes de fatigue de type de bâillements, ralentissement, sédation ; malgré ses plaintes, l'existence d'une capacité à assurer la plupart des tâches ménagères, le reste de celles-ci étant assurées de longue date par une femme de ménage pour des raisons non psychiatriques ; sa capacité à assurer la préparation des repas, à s'occuper de ses parents et de son fils présentant un handicap significatif ; l'absence de perte d'estime de soi ; l'existence d'un sentiment de culpabilité mais ni excessive ni inappropriée ; l'absence de diminution de l'aptitude à penser ou à se concentrer ; la capacité à gérer l'ensemble des tâches administratives de son foyer ; l'absence de modification de l'activité psychomotrice et de l'appétit ; les difficultés d'endormissement, dont la fréquence était difficilement quantifiable et à pondérer, dans la mesure où la recourante indiquait vouloir profiter du temps de tranquillité pour pouvoir faire ses recherches sur internet et s'occuper d'elle ; au niveau de la personnalité, l'absence de déviation stable et durable du fonctionnement par rapport aux attitudes culturellement attendues et acceptées. Ce qui précède démontre que les éléments critiqués par la recourante ont fait l'objet d'une investigation fouillée par les médecins du SMR. Le psychiatre du SMR a ensuite repris ces éléments dans l'appréciation du cas, les récapitulant et les appréciant au début de son appréciation, constatant que la recourante attendait de l'OAI une rente qui soit une forme de compensation quant à son investissement auprès de son fils et que les éléments recueillis dans le contexte psychosocial et la vie quotidienne permettaient de constater que les ressources disponibles ou mobilisables de l'assurée, ainsi que l'autonomie dans la vie quotidienne, étaient globalement conservées sur le plan psychiatrique. Il a par la suite traité séparément chaque diagnostic à la lumière de ces éléments et de l'ensemble du dossier, examiné le caractère incapacitant de chaque diagnostic retenu et expliqué pourquoi il s'écartait de l'appréciation de la psychiatre de la recourante. Il a ainsi retenu le diagnostic de trouble de l'adaptation avec réaction dépressive prolongée et non celui de trouble dépressif récurrent, épisode actuel sévère. La recourante avait vécu de nombreux facteurs de stress psychosociaux et avait présenté de façon fluctuante et en fonction des différents événements des symptômes dépressifs avec une tristesse, une fatigabilité, une diminution de la motivation, et ce, de façon légère et fluctuante. Le diagnostic d'un épisode dépressif caractérisé était écarté en raison de la faible intensité et de la variabilité des symptômes au cours du temps. Le trouble de l'adaptation était plutôt léger, dans la mesure où elle avait été en mesure de prendre en charge de façon régulière son foyer et ses enfants, avec en particulier son fils atteint d'un handicap grave. Elle avait été confrontée à des facteurs de stress supplémentaires six ans auparavant, lorsqu'il lui avait été annoncé que son fils ne pouvait plus venir à l'école l'après-midi, puis deux ans auparavant, lorsqu'il avait cessé d'être scolarisé et avait été mis en attente d'une place en Centre de Jour. L'assurée n'avait pas présenté de limitations fonctionnelles significatives et durables, de sorte que ce diagnostic ne présentait pas de caractère incapacitant. S'agissant du trouble dépressif écarté, le médecin psychiatre du SMR a encore ajouté qu'elle était capable de ressentir du plaisir et de la joie et qu'il n'avait pas été possible d'objectiver une humeur triste à un degré nettement anormal et peu influencé par les événements, une diminution marquée des intérêts et du plaisir pour les activités normalement agréables et une diminution de l'énergie ou une augmentation de la fatigabilité, et ce, de façon constante et durable, en référence aux critères majeurs d'un épisode dépressif selon la CIM-10. Le médecin psychiatre du SMR a ainsi expliqué de manière convaincante pourquoi le diagnostic de trouble de l'adaptation avec réaction dépressive prolongée était retenu, pourquoi il n'avait pas de caractère incapacitant et pourquoi celui de trouble dépressif récurrent, épisode actuel sévère, était écarté. Le médecin psychiatre du SMR a encore noté que le peu de consultations psychiatriques, qui s'expliquait par des facteurs extra-médicaux, n'était pas en faveur d'un poids de la souffrance significatif. Il a également noté des divergences entre les symptômes, le comportement et les activités quotidiennes, vu le décalage significatif entre l'intensité et la fréquence de la tristesse, la fatigue, le manque de motivation allégués et, d'une part, le comportement de la recourante durant l'entretien, pendant lequel elle avait pu avoir une humeur variable en fonction des sujets abordés, faire preuve d'humour, être accessible à l'humour, ainsi que, d'autre part, les activités quotidiennes, une tristesse, une fatigue et un manque de motivation permanents tels que s'en plaignait l'assurée étant incompatibles avec le fait de pouvoir prendre en charge de façon durable son fils, sortir régulièrement, faire de la méditation et de la gym, s'occuper de ses parents et cuisiner très régulièrement des repas élaborés. L'assurée avait tantôt indiqué n'avoir que Netflix et l'alcool, puis indiqué avoir plusieurs activités et relations sociales. Ces divergences pouvaient raisonnablement s'expliquer par les traits histrioniques à type de dramatisation et d'hyperexpressivité émotionnelle. Face à ces investigations fouillées et ces conclusions motivées et claires, la recourante invoque les rapports de la Dre C______, pris en compte par le médecin psychiatre du SMR, qui, comme vu précédemment, a expliqué de manière convaincante pourquoi il s'en était écarté, étant rappelé que la recourante n'a consulté la Dre C______ qu'à deux reprises, ceci à plusieurs mois d'intervalle. Elle a ensuite produit un certificat médical du neurologue de son fils et un rapport d'un médecin adjoint agrégé responsable de l'unité de neurologie pédiatrique des HUG suivant son fils. Or, ces deux spécialistes ne sont pas psychiatres et la recourante n'est pas leur patiente. Elle a également produit un courriel du moniteur et assistant de son fils, qui n'apparaît pas être médecin et qui s'occupe lui aussi précisément de son fils, et non de la recourante. Elle a aussi versé à la procédure un rapport d'évaluation des urgences psychiatriques, consultées le 2 mars 2024 dans la situation difficile qu'elle vivait, soit la fin de vie de son père qui avait été victime de deux accidents vasculaires cérébraux. Au-delà du fait qu'il est postérieur à la décision litigieuse, ce rapport, sans se prononcer sur la capacité de travail, aboutit au même diagnostic que le médecin psychiatre du SMR, soit un trouble de l'adaptation avec humeur dépressive, constate qu'une hospitalisation en urgence n'est pas indiquée et préconise un suivi ambulatoire, éléments qui ont plutôt tendance à confirmer les conclusions du médecin psychiatre du SMR, étant relevé que ce rapport précise que la recourante avait demandé une attestation de passage pour son avocat. Elle a encore produit une attestation d'une psychologue qui la connaît depuis dix ans et indique l'avoir soutenue informellement, reconnaissant ainsi ne pas assurer de suivi de la recourante, de sorte que cette attestation ne peut être décisive. Elle a finalement produit un certificat de la Dre I______, consultée à la suite de sa consultation aux urgences psychiatriques. Or, cette psychiatre n'a initié un suivi de la recourante que le 9 avril 2024, et donc postérieurement à la décision litigieuse, et ceci, à raison d'une fois tous les quinze jours, a alors diagnostiqué un épisode dépressif moyen (F32.1), sans indiquer qu'il existerait un trouble dépressif récurrent, n'indique pas avoir introduit de traitement médicamenteux et ne se prononce pas sur la capacité de travail, ceci alors qu'un épisode dépressif moyen n'est en principe pas incapacitant selon la jurisprudence. Au vu de ce qui précède, la recourante, qui substitue par sa propre appréciation subjective celle du médecin psychiatre du SMR, n'invoque en définitive pas d'élément objectif précis justifiant, d'un point de vue médical, d'envisager la situation selon une perspective différente ou, à tout le moins, de mettre en œuvre un complément d'instruction. C'est par conséquent à juste titre que l'intimé s'est basé sur le rapport du SMR, qui revêt une pleine valeur probante, pour retenir l'absence d'atteinte à la santé invalidante au sens de la LAI et ainsi opposer une suite négative à la demande de rente d'invalidité de la recourante. Le grief sera écarté. Il s'ensuit que les demandes de comparution personnelle ainsi que d'audition de témoins et d'expertise de la recourante doivent être rejetées, par appréciation anticipée des preuves, étant au surplus relevé que deux des témoins dont l'audition est sollicitée ne sont pas des soignants de la recourante, mais de son fils, de sorte que leur témoignage n'est en outre pas pertinent.</w:t>
      </w:r>
    </w:p>
    <w:p>
      <w:r>
        <w:rPr>
          <w:b/>
        </w:rPr>
        <w:t>E. 9</w:t>
      </w:r>
    </w:p>
    <w:p>
      <w:r>
        <w:t>Pour ce qui est des autres prestations de l'AI, la recourante, représentée par une avocate, ne précise pas lesquelles elle sollicite, n'apporte aucune motivation à sa demande et, en l'absence de toute invalidité, de toute incapacité de travail et de toute intention de travailler, au vu de la situation de son fils, on ne voit pas quelle mesure elle serait susceptible de solliciter.</w:t>
      </w:r>
    </w:p>
    <w:p>
      <w:r>
        <w:rPr>
          <w:b/>
        </w:rPr>
        <w:t>E. 10</w:t>
      </w:r>
    </w:p>
    <w:p>
      <w:r>
        <w:t>Dans ces circonstances, le recours, mal fondé, sera rejeté.</w:t>
      </w:r>
    </w:p>
    <w:p>
      <w:r>
        <w:rPr>
          <w:b/>
        </w:rPr>
        <w:t>E. 11</w:t>
      </w:r>
    </w:p>
    <w:p>
      <w:r>
        <w:t>Vu l'issue du litige, un émolument de CHF 200.- sera mis à la charge de la recourante (art. 69 al. 1bis LAI), et il ne lui sera pas alloué de dépens (art. 61 let. g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