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A/1193/2005 vom 16. Dezember 2004</w:t>
      </w:r>
    </w:p>
    <w:p>
      <w:r>
        <w:t>GE Cour de justice, 2004-12-16, FR</w:t>
      </w:r>
    </w:p>
    <w:p>
      <w:r>
        <w:rPr>
          <w:b/>
        </w:rPr>
        <w:t xml:space="preserve">Quelle: </w:t>
      </w:r>
      <w:r>
        <w:t>https://mcp.opencaselaw.ch/entscheid/ge_gerichte_A_1193_2005</w:t>
      </w:r>
    </w:p>
    <w:p>
      <w:r>
        <w:t>FR: GE_GERICHTE A/1193/2005 du 16 décembre 2004</w:t>
      </w:r>
    </w:p>
    <w:p>
      <w:r>
        <w:t>IT: GE_GERICHTE A/1193/2005 del 16 dicembre 2004</w:t>
      </w:r>
    </w:p>
    <w:p>
      <w:pPr>
        <w:pStyle w:val="Heading2"/>
      </w:pPr>
      <w:r>
        <w:t>Regeste</w:t>
      </w:r>
    </w:p>
    <w:p>
      <w:r>
        <w:t>; PRÉVOYANCE PROFESSIONNELLE ; LIBRE PASSAGE(ASSURANCES) ; DIVORCE ; AI(ASSURANCE) ; PRESTATION(SENS GÉNÉRAL) ; DEMANDE DE PRESTATION D'ASSURANCE ; PRESTATION DE LIBRE PASSAGE ; JUGEMENT DE DIVORCE ; CHOSE JUGÉE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Certes, dans le cas d'espèce, la demanderesse a déposé une demande de rente AI en mai 2003, de sorte qu'il est possible qu'un cas de prévoyance survienne avec effet à une date antérieure. Cela ne change cependant pas le caractère exécutable du partage, conformément à la doctrine majoritaire et à la jurisprudence tant de la Cour de Justice que du Tribunal fédéral des assurances (TFA). En effet,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En d'autres termes, il faut et il suffit que le principe du divorce et la question du partage des avoirs LPP soient entrés en force.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La Cour a relevé que certes, le bulletin LPP de l'OFAS prévoit que lorsque le cas de prévoyance survient ou est annoncé par l'un des conjoint en cours de procédure devant le juge des assurances, celui-ci doit refuser d'exécuter le partage des prestations de sortie et renvoyer la cause devant le juge du divorce pour qu'il statue d'office sur l'application de l'article 124 CC, et que cette analyse est partagée par une partie de la doctrine. La Cour relève cependant que cette opinion ne respecte pas la volonté du législateur et ouvre la porte à des situations choquantes. Par ailleurs, sur le plan pratique, il est aisé pour une caisse de prévoyance, qui a commencé à verser une rente, de recalculer celle-ci après avoir prélevé la part qui revient à l'époux, selon les règles du droit du divorce (cf. ACJ du 18 mars 2005 en la cause C/26325/1996). La question de savoir si un époux dispose d’un droit à des prestations excluant le partage est une difficulté relative au rapport de prévoyance qui relève de la compétence matérielle du juge des assurances sociales (ATF 128 V 41 consid. 1et 2c in fine); toutefois, le juge du divorce, qui doit régler le sort de la prévoyance professionnelle des époux, doit examiner la question à titre préjudiciel (ATF 128 V 41 consid. 3b p. 49 et les références).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 Ce qui est déterminant pour l’application de l’art. 122 al. 1 CC, c’est que l’assuré dispose d’une prétention à une prestation de sortie à l’encontre de son institution de prévoyance (ATF 128 V 41 , cf. aussi ATAS 786/2004)). Le Tribunal de céans a par ailleurs déjà ordonné l'exécution d'un partage alors même qu'une rente AVS était servie, et a invité la caisse de prévoyance à calculer la rente à nouveau, après partage (cf. ATAS/700/2005 du 30 août 2005).</w:t>
      </w:r>
    </w:p>
    <w:p>
      <w:r>
        <w:rPr>
          <w:b/>
        </w:rPr>
        <w:t>E. 3</w:t>
      </w:r>
    </w:p>
    <w:p>
      <w:r>
        <w:t>En l’espèce, le juge de première instance a ordonné le partage par moitié des avoirs de prévoyance des ex-époux. Les dates pertinentes sont celle du mariage, le 15 avril 1979, et celle du 3 février 2005, date à laquelle le jugement de divorce est devenu exécutoire. Selon les documents produits, la prestation acquise pendant le mariage par Monsieur P__________ est de 195'696 fr. 20 tandis que celle acquise par Madame P__________ est de 17'136 fr., les intérêts ayant déjà été calculés par les institutions de prévoyance défenderesses. Ainsi Monsieur P__________ doit à son ex-épouse le montant de 97'848 fr. 10 (195'696 fr. 20 : 2) et celle-ci doit à celui-là le montant de 8'568 fr. (17'136 fr. : 2), de sorte que c’est Monsieur P__________ qui doit à Madame P__________ le montant de 89'280 fr.10.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