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A/118/2007 vom 11. Dezember 2006</w:t>
      </w:r>
    </w:p>
    <w:p>
      <w:r>
        <w:t>GE Cour de justice, 2006-12-11, FR</w:t>
      </w:r>
    </w:p>
    <w:p>
      <w:r>
        <w:rPr>
          <w:b/>
        </w:rPr>
        <w:t xml:space="preserve">Quelle: </w:t>
      </w:r>
      <w:r>
        <w:t>https://mcp.opencaselaw.ch/entscheid/ge_gerichte_A_118_2007</w:t>
      </w:r>
    </w:p>
    <w:p>
      <w:r>
        <w:t>FR: GE_GERICHTE A/118/2007 du 11 décembre 2006</w:t>
      </w:r>
    </w:p>
    <w:p>
      <w:r>
        <w:t>IT: GE_GERICHTE A/118/2007 del 11 dicembre 2006</w:t>
      </w:r>
    </w:p>
    <w:p>
      <w:pPr>
        <w:pStyle w:val="Heading2"/>
      </w:pPr>
      <w:r>
        <w:t>Erwägungen</w:t>
      </w:r>
    </w:p>
    <w:p>
      <w:r>
        <w:rPr>
          <w:b/>
        </w:rPr>
        <w:t>E. 1</w:t>
      </w:r>
    </w:p>
    <w:p>
      <w:r>
        <w:t>Par décision du 11 décembre 2006, le président de l’école de traduction et d’interprétation de l’Université de Genève (ci-après : l’université) a confirmé l’élimination de la formation préparant à la licence en traduction prononcée le 20 octobre 2006 de Monsieur S______ (ci-après : M. S______ ou le recourant) domicilié à Bernex/Genève.</w:t>
      </w:r>
    </w:p>
    <w:p>
      <w:r>
        <w:rPr>
          <w:b/>
        </w:rPr>
        <w:t>E. 2</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 Il est donc exclu d’attribuer un effet suspensif à une décision négative. Dans un tel cas, la voie à suivre est celle de mesures provisionnelles (ATF 117 V 185 et ss ; ACOM/2/2006 du 30 janvier 2006 et les références citées). Ainsi, la CRUNI examinera la demande d’effet suspensif sous l’angle des mesures provisionnelles.</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Vu la nature du litige, aucun émolument ne sera mis à la charge du recourant (art. 33 RIOR).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