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A/1186/2025 vom 8. Februar 2023</w:t>
      </w:r>
    </w:p>
    <w:p>
      <w:r>
        <w:t>GE Cour de justice, 2023-02-08, FR</w:t>
      </w:r>
    </w:p>
    <w:p>
      <w:r>
        <w:rPr>
          <w:b/>
        </w:rPr>
        <w:t xml:space="preserve">Quelle: </w:t>
      </w:r>
      <w:r>
        <w:t>https://mcp.opencaselaw.ch/entscheid/ge_gerichte_A_1186_2025</w:t>
      </w:r>
    </w:p>
    <w:p>
      <w:r>
        <w:t>FR: GE_GERICHTE A/1186/2025 du 8 février 2023</w:t>
      </w:r>
    </w:p>
    <w:p>
      <w:r>
        <w:t>IT: GE_GERICHTE A/1186/2025 del 8 febbraio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un éventuel droit à une rente d’invalidité naîtrait au plus tôt en 2024, soit six mois après le dépôt de la demande du 11 août 2023 ( cf. art. 29 al. 1 LAI), de sorte que les dispositions légales applicables seront citées dans leur nouvelle teneur.</w:t>
      </w:r>
    </w:p>
    <w:p>
      <w:r>
        <w:rPr>
          <w:b/>
        </w:rPr>
        <w:t>E. 2</w:t>
      </w:r>
    </w:p>
    <w:p>
      <w:r>
        <w:t>Le litige porte sur le droit du recourant à une rente d’invalidité, singulièrement sur l’évaluation de sa capacité de travail.</w:t>
      </w:r>
    </w:p>
    <w:p>
      <w:r>
        <w:rPr>
          <w:b/>
        </w:rPr>
        <w:t>E. 3</w:t>
      </w:r>
    </w:p>
    <w:p>
      <w:r>
        <w:t>Comorbidités On ne saurait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 arrêt du Tribunal fédéral 9C_618/2019 du 16 mars 2020 consid. 8.3).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3.2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3.2.1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3.2.2</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w:t>
      </w:r>
    </w:p>
    <w:p>
      <w:r>
        <w:rPr>
          <w:b/>
        </w:rPr>
        <w:t>E. 3.2.3</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En l’absence d’un diagnostic psychiatrique, une telle appréciation n’a pas non plus à être effectuée (ATF 143 V 418 consid. 7.1 ; 409 consid. 4.5.3 ; arrêts du Tribunal fédéral 8C_43/2023 du 29 novembre 2023 consid. 5.2 ; 9C_101/2019 du 12 juillet 2019 consid. 4.3 ; 9C_176/2018 du 16 août 2018 consid. 3.2.2).</w:t>
      </w:r>
    </w:p>
    <w:p>
      <w:r>
        <w:rPr>
          <w:b/>
        </w:rPr>
        <w:t>E. 3.2.4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 cf. ATF 141 V 281 consid. 4.1.1). L'accent doit ainsi être mis sur les ressources qui peuvent compenser le poids de la douleur et favoriser la capacité d'exécuter une tâche ou une action (arrêt du Tribunal fédéral 9C_111/2016 du 19 juillet 2016 consid. 7 et la référence).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sur les manifestations concrètes de l'atteinte à la santé diagnostiquée aident à séparer les limitations fonctionnelles qui sont dues à une atteinte à la santé des conséquences (directes) de facteurs non assurés. Le point de départ est le degré de gravité minimal inhérent au diagnostic. Il doit être rendu vraisemblable compte tenu de l’étiologie et de la pathogénèse de la pathologie déterminante pour le diagnostic (ATF 141 V 281 consid. 4.31.1 ; arrêt du Tribunal fédéral 9C_265/2023 du 19 août 2024 consid. 6.3 et la référence).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 du Tribunal fédéral 9C_762/2019 du 16 juin 2020 consid. 5.2). Le fait d'avoir été en mesure d'exercer une activité lucrative pendant de nombreuses années sans problème majeur est un élément important à prendre en considération dans l'évolution de la situation médicale de la personne assurée. Cet élément ne suffit toutefois pas pour en déduire une absence de gravité des atteintes à la santé ( cf. arrêt du Tribunal fédéral 9C_618/2019 du 16 mars 2020 consid. 8.2.1.2).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Á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3.2.5</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 Si l’expert s'acquitte de sa tâche de manière convaincante et sur la base d'une expertise qui a été établie conformément au schéma d'évaluation de l’ATF 141 V 281 ,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3.3</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3.4.2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3.4.3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3.5</w:t>
      </w:r>
    </w:p>
    <w:p>
      <w:r>
        <w:t>Selon la jurisprudence (ATF 139 V 496 consid. 4.3 ; 139 V 349 consid. 5.4), les frais découlant de la mise en œuvre d'une expertise judiciaire peuvent être mis à la charge de l'assurance-invalidité lorsque l'autorité judiciaire de première instance ordonne une expertise judiciaire parce qu'elle estime que l'instruction menée par l'autorité administrative est insuffisante (ATF 137 V 210 consid. 4.4.1.4). Cette autorité intervient dans les faits en lieu et place de l'autorité administrative qui aurait dû, en principe, mettre en œuvre cette mesure d'instruction dans le cadre de la procédure administrative. Dans ces circonstances, les frais de l'expertise ne constituent pas des frais de justice au sens de l'art. 69 al. 1 bis LAI, mais des frais relatifs à la procédure administrative au sens de l'art. 45 LPGA. Ceux-ci doivent être pris en charge par l'assurance-invalidité. Cette règle ne saurait toutefois entraîner systématiquement la mise des frais d'une expertise judiciaire à la charge de l'autorité administrative. Encore faut-il que celle-ci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réaliser une expertise judiciaire (ATF 137 V 210 consid. 4.4.2 ; arrêt du Tribunal fédéral 9C_560/2024 du 11 décembre 2024 consid. 3 et les références).</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juin 2022 (date de la fin de la dernière mission temporaire)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 Dans ce cadre, effectuer un dosage sanguin des traitements psychotropes et antalgiques.</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l'expertise du Dr D______ du 19 décembre 2024 ? En particulier avec les diagnostics posés et l'estimation d'une capacité de travail totale dans toute activité ? Si non, pourquoi ?</w:t>
      </w:r>
    </w:p>
    <w:p>
      <w:r>
        <w:rPr>
          <w:b/>
        </w:rPr>
        <w:t>E. 11.2</w:t>
      </w:r>
    </w:p>
    <w:p>
      <w:r>
        <w:t>Êtes-vous d’accord avec les avis du Dr C______ des 28 mars et 31 mai 2025 ? En particulier avec les diagnostics posés, les limitations fonctionnelles constatées et l’estimation d’une capacité de travail nulle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