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A/1185/2023 vom 17. Oktober 2023</w:t>
      </w:r>
    </w:p>
    <w:p>
      <w:r>
        <w:t>GE Cour de justice, 2023-10-17, FR</w:t>
      </w:r>
    </w:p>
    <w:p>
      <w:r>
        <w:rPr>
          <w:b/>
        </w:rPr>
        <w:t xml:space="preserve">Quelle: </w:t>
      </w:r>
      <w:r>
        <w:t>https://mcp.opencaselaw.ch/entscheid/ge_gerichte_A_1185_2023</w:t>
      </w:r>
    </w:p>
    <w:p>
      <w:r>
        <w:t>FR: GE_GERICHTE A/1185/2023 du 17 octobre 2023</w:t>
      </w:r>
    </w:p>
    <w:p>
      <w:r>
        <w:t>IT: GE_GERICHTE A/1185/2023 del 17 ottobre 2023</w:t>
      </w:r>
    </w:p>
    <w:p>
      <w:pPr>
        <w:pStyle w:val="Heading2"/>
      </w:pPr>
      <w:r>
        <w:t>Regeste</w:t>
      </w:r>
    </w:p>
    <w:p>
      <w:r>
        <w:t>DÉCISION;DÉCISION NON FORMELLE;ACTE MATÉRIEL;INTÉRÊT DIGNE DE PROTECTION | Arrêt sur partie dans lequel la chambre administrative se déclare compétente pour trancher sur le fond un litige portant sur le refus du département du territoire de rétablir les modalités de publication des transactions immobilières sur les sites du registre foncier et de la FAO. La modification des modalités de publication est un acte matériel qui est susceptible de porter effectivement atteinte aux droits et obligations de la recourante. | LOG.132; LPA.4; LPA.4A; PA.25A; Cst.29A</w:t>
      </w:r>
    </w:p>
    <w:p>
      <w:pPr>
        <w:pStyle w:val="Heading2"/>
      </w:pPr>
      <w:r>
        <w:t>Erwägungen</w:t>
      </w:r>
    </w:p>
    <w:p>
      <w:r>
        <w:rPr>
          <w:b/>
        </w:rPr>
        <w:t>E. 1</w:t>
      </w:r>
    </w:p>
    <w:p>
      <w:r>
        <w:t>Les juridictions administratives peuvent rendre des jugements sur partie, ce qui leur permet d'examiner prioritairement des questions préalables telles que leur compétence. La chambre de céans rend régulièrement de tels arrêts ( ATA/94/2023 du 31 janvier 2023 consid. 2 et les arrêts cités). En l’espèce, les parties ont accepté que la chambre de céans statue sur partie sur sa compétence et sur la recevabilité du recours.![endif]&gt;![if&gt;</w:t>
      </w:r>
    </w:p>
    <w:p>
      <w:r>
        <w:rPr>
          <w:b/>
        </w:rPr>
        <w:t>E. 2</w:t>
      </w:r>
    </w:p>
    <w:p>
      <w:r>
        <w:t>La compétence de la chambre administrative est définie à l'art. 132 LOJ.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loi.![endif]&gt;![if&gt;</w:t>
      </w:r>
    </w:p>
    <w:p>
      <w:r>
        <w:rPr>
          <w:b/>
        </w:rPr>
        <w:t>E. 3</w:t>
      </w:r>
    </w:p>
    <w:p>
      <w:r>
        <w:t>Il convient tout d’abord d’examiner si, comme l’affirme la recourante, le courrier de l’intimé du 20 mars 2023 est une décision.![endif]&gt;![if&gt;</w:t>
      </w:r>
    </w:p>
    <w:p>
      <w:r>
        <w:rPr>
          <w:b/>
        </w:rPr>
        <w:t>E. 3.1</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4).![endif]&gt;![if&gt;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ATA/327/2023 du 28 mars 2023 consid. 2.1 et les arrêts cités). En droit genevois, la notion de décision est calquée sur le droit fédéral (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 e éd., 2011, p. 194 n. 2.1.1.1). De nature unilatérale, une décision se réfère à la loi dont elle reproduit le contenu normatif de la règle (Thierry TANQUEREL, Manuel de droit administratif, 2 e éd., 2018, p. 285 n. 798 ; Pierre MOOR/Étienne POLTIER, op. cit. ,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ATA/29/2023 du 17 janvier 2023 consid. 3b et l’arrêt cité ; Jacques DUBEY/Jean-Baptiste ZUFFEREY, op. cit. , p. 320 n. 876).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3.2</w:t>
      </w:r>
    </w:p>
    <w:p>
      <w:r>
        <w:t>En l’espèce, dans son courrier du 20 mars 2023, le département expose les motifs qui l’ont conduit à modifier les modalités de la consultation des données sur les sites de la FAO ou du RF. Il y présente les raisons techniques, juridiques et financières qui ont motivé son choix. De telles indications ne produisent en elles‑mêmes aucun effet juridique et relèvent de l’information. Il faut dès lors conclure que ce courrier n’est pas une décision. La question de savoir si la réponse du RF à l’intimé du 13 avril 2023 est une décision est exorbitante au présent litige et ne sera dès lors pas examinée.![endif]&gt;![if&gt;</w:t>
      </w:r>
    </w:p>
    <w:p>
      <w:r>
        <w:rPr>
          <w:b/>
        </w:rPr>
        <w:t>E. 4</w:t>
      </w:r>
    </w:p>
    <w:p>
      <w:r>
        <w:t>Il convient ensuite d’examiner si un recours est ouvert auprès de la chambre de céans sous l’angle de 4A LPA. Plus précisément, dès lors qu’il ne s’agit pas ici de résoudre le litige sur le fond, il importe de déterminer si la requête de la recourante entre dans le champ d’application de cette disposition.![endif]&gt;![if&gt;</w:t>
      </w:r>
    </w:p>
    <w:p>
      <w:r>
        <w:rPr>
          <w:b/>
        </w:rPr>
        <w:t>E. 4.1</w:t>
      </w:r>
    </w:p>
    <w:p>
      <w:r>
        <w:t>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Lorsqu'elle n'est pas désignée, l'autorité compétente est celle dont relève directement l'intervention étatique en question (art. 4A al. 3 LPA).![endif]&gt;![if&gt;</w:t>
      </w:r>
    </w:p>
    <w:p>
      <w:r>
        <w:rPr>
          <w:b/>
        </w:rPr>
        <w:t>E. 4.2</w:t>
      </w:r>
    </w:p>
    <w:p>
      <w:r>
        <w:t>Un acte matériel est défini comme un acte qui n'a pas pour objet de produire un effet juridique, même s'il peut en pratique en produire, notamment s'il met en jeu la responsabilité de l'État ( ATA/649/2023 précité consid. 1.4 et les arrêts cités ; Pierre MOOR/Alexandre FLÜCKIGER/Vincent MARTENET, Droit administratif, vol. 1, 3 e éd. 2012, p. 12 s ; Thierry TANQUEREL, op. cit. , n. 52 ; Mémorial du Grand Conseil [ci-après :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 ATA/649/2023 précité ; Thierry TANQUEREL, op. cit ., n. 666).![endif]&gt;![if&gt;</w:t>
      </w:r>
    </w:p>
    <w:p>
      <w:r>
        <w:rPr>
          <w:b/>
        </w:rPr>
        <w:t>E. 4.3</w:t>
      </w:r>
    </w:p>
    <w:p>
      <w:r>
        <w:t>Selon les travaux préparatoires relatifs à l'art. 4A LPA, cette disposition vise en particulier à adapter le droit administratif genevois aux exigences posées par la garantie de l'accès au juge ancrée à l'art. 29a Cst. (exposé des motifs du projet de loi n° PL 10253 modifiant la LOJ, déposé en mai 2003 par le Conseil d'État, in MGC 2007-2008/VIII A - 6520). Selon cette disposition constitutionnelle, toute personne a droit à ce que sa cause soit jugée par une autorité judiciaire (phr. 1). La Confédération et les cantons peuvent, par la loi, exclure l'accès au juge dans des cas exceptionnels (phr. 2).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2007-2008/VIII A - 6530 s), pour conclure qu'il ressort de la jurisprudence du Tribunal fédéral et de la doctrine que les cantons sont tenus d'ouvrir la possibilité de demander à l'autorité compétente une décision attaquable et de prévoir une voie de droit analogue à celle de l'art. 25a PA (MGC 2007-2008/VIII A - 6535 ; ATA/649/2023 précité consid. 1.5 et l’arrêt cité).![endif]&gt;![if&gt;</w:t>
      </w:r>
    </w:p>
    <w:p>
      <w:r>
        <w:rPr>
          <w:b/>
        </w:rPr>
        <w:t>E. 4.4</w:t>
      </w:r>
    </w:p>
    <w:p>
      <w:r>
        <w:t>Toujours selon les travaux préparatoires relatifs à cette disposition (MGC 2007‑2008/VIII A 6519), l’art. 4A LPA est une « reprise presque à l’identique » de l’art.  25a PA, l’intérêt étant de « profiter de la jurisprudence sur cette disposition » (MGC 2007-2008/VIII A - 6551). Selon l’art. 25a PA, intitulé « Décision relative à des actes matériels », toute personne qui a un intérêt digne de protection peut exiger que l’autorité compétente pour des actes fondés sur le droit public fédéral et touchant à des droits ou des obligations (al. 1) : s’abstienne d’actes illicites, cesse de les accomplir ou les révoque (let. a) ; élimine les conséquences d’actes illicites (let. b) ; constate l’illicéité de tels actes (let. c). L’autorité statue par décision (art. 25a al. 2 PA). ![endif]&gt;![if&gt;</w:t>
      </w:r>
    </w:p>
    <w:p>
      <w:r>
        <w:rPr>
          <w:b/>
        </w:rPr>
        <w:t>E. 4.5</w:t>
      </w:r>
    </w:p>
    <w:p>
      <w:r>
        <w:t>Selon la jurisprudence du Tribunal fédéral, l’art. 25a al. 1 PA doit conférer aux personnes concernées un droit à une procédure administrative subséquente et indépendante (ATF 144 II 233 consid. 3 = JdT 2019 I p. 58, 59 ; ATF 140 II 315 consid. 2.1). Cependant, la prétention fondée sur l’art. 25a PA n’existe pas si la législation a exclu (« bewusst ausgeschlossen hat ») la protection juridique contre l’acte matériel ; cette prétention est en outre subsidiaire en ce sens qu’elle cède le pas à d’autres voies si une protection juridique suffisante est assurée d’une autre manière (ATF 140 II 315 consid. 3.1 = RDAF 2015 I p. 300, 302 ; arrêt du Tribunal fédéral 2C_601/2016 du 15 juin 2018 consid. 6.1 et 6.2 non publiés dans l’ATF 144 II 233 ). ![endif]&gt;![if&gt; La requête fondée sur l’art. 25a PA doit être dirigée contre l’acte matériel de l’administration considéré illicite ( gegen das widerrechtliche Handeln ), étant précisé que l’acte de l’autorité peut non seulement être un acte proprement dit ( Handeln ), mais également une omission ( Unterlassen ). Sur ce dernier point, le Tribunal fédéral précise qu’une omission de la part de l'État ( staatliches Unterlassen ) est illicite seulement s’il existe un devoir spécifique d’agir ( eine spezifische Handlungspflicht ) de l’autorité (ATF 140 II 315 consid. 2.1 = RDAF 2015 I p. 300, 302). Avec l’art. 25a PA, les actes éventuellement illicites, identifiables et attribuables à une autorité, doivent être soumis à un contrôle de leur légalité. Les actes sont des actes matériels, comme suggéré par le titre marginal. Les actes matériels se distinguent des actes juridiques. Le critère distinctif porte sur le résultat que l’autorité administrative recherche immédiatement par son action. Les actes tendant à un résultat juridique sont des actes juridiques ; ceux tendant à un simple résultat matériel sont des actes matériels. Ceux-ci ont pour but de modifier directement la situation de fait (ATF 144 II 233 consid. 4.1 = JdT 2019 I p. 58, 60).</w:t>
      </w:r>
    </w:p>
    <w:p>
      <w:r>
        <w:rPr>
          <w:b/>
        </w:rPr>
        <w:t>E. 4.6</w:t>
      </w:r>
    </w:p>
    <w:p>
      <w:r>
        <w:t>À teneur de l’art. 25a al. 1 PA, l’acte matériel doit « [toucher] à des droits ou des obligations » ( Rechte oder Pflichten berühren ) ; cela suppose un rapport juridique de droit administratif au moins latent. Le requérant doit en outre établir un « intérêt digne de protection » à obtenir une décision sur un acte matériel. L’art. 25a PA subordonne ainsi la protection juridique, cumulativement, à un critère relatif à l’acte (« aktbezogenes [Kriterium] ») – c’est-à-dire que l’acte matériel doit toucher (« berühren ») à des droits ou obligations – et à un critère relatif au requérant ( subjektbezogenes Kriterium ) – c’est-à-dire que le requérant a un intérêt digne de protection à obtenir une décision sur un acte matériel. Bien que ces deux critères aillent dans le même sens, l’art. 25a PA les distingue clairement, suivant la distinction traditionnelle entre l’acte attaquable ( Anfechtungsobjekt , art. 44 PA) et la qualité pour recourir ( Beschwerdebefugnis , art. 48 PA) pour les actes juridiques (ATF 144 II 233 consid. 7.1 = JdT 2019 I p. 58, 62 ; 140 II 315 consid. 4.1).![endif]&gt;![if&gt;</w:t>
      </w:r>
    </w:p>
    <w:p>
      <w:r>
        <w:rPr>
          <w:b/>
        </w:rPr>
        <w:t>E. 4.7</w:t>
      </w:r>
    </w:p>
    <w:p>
      <w:r>
        <w:t>Selon la jurisprudence du Tribunal fédéral, l’art. 25a PA soumet à contrôle juridique des situations où le comportement de l’autorité n’a certes pas pour but de régler des droits et obligations, mais influence néanmoins des droits et obligations. Selon la doctrine dominante, cela suppose une intervention dans la sphère juridique individuelle de la personne concernée (ATF 140 II 315 consid. 4.3 et 4.5 et les références citées). Dans le contexte de l’art. 25a PA, les positions juridiques dignes de protection résultent principalement des droits fondamentaux mais elles peuvent aussi résulter d’autres titres juridiques (ATF 144 II 233 consid. 7.3.1 = JdT 2019 I p. 58, 62 ; 140 II 315 consid. 4.3). ![endif]&gt;![if&gt; Au regard de l’art. 25a PA, il suffit que des droits et obligations soient touchés. Par exemple, une ingérence ( Eingriff ) dans le champ de protection d’un droit fondamental n’est pas nécessaire ; il suffit que le requérant parvienne à démontrer qu’un effet de l’acte matériel mette un droit fondamental en cause au degré caractéristique d’une restriction ( dass ein vom Realakt ausgehender Reflex grundrechtsrelevant ist, mithin den Grad eines Eingriffs annehmen könnte ; cf. ATF 140 II 315 consid. 4.8). La voie de l’art. 25a PA n’est donc disponible qu’en présence d’un « certain degré de gravité » ( wenn eine gewisse Intensität der Betroffenheit des Privaten gegeben ist ). En cas de restriction latente – que le requérant doit démontrer – d’un droit fondamental, le champ d’application de ce droit détermine si l’effet de l’acte suffit à mettre ce même droit en cause. Il faut prendre ici en considération que l’acte matériel doit aussi être apte à toucher des droits et obligations. Cela nécessite en d’autres termes un rapport d’imputabilité ( Zurechnungszusammenhang ), un lien de causalité adéquate entre l’acte ( Handlung ) et l’incidence sur des droits et obligations ( Berührung in Rechte und Pflichten ). Le rapport d’imputabilité est interrompu, ou il est d’emblée exclu si des causes externes, indépendantes, s’interposent ou dominent même la chaîne des événements (ATF 144 II 233 consid. 7.3.2 = JdT 2019 I p. 58, 62 s et les références citées).</w:t>
      </w:r>
    </w:p>
    <w:p>
      <w:r>
        <w:rPr>
          <w:b/>
        </w:rPr>
        <w:t>E. 4.8</w:t>
      </w:r>
    </w:p>
    <w:p>
      <w:r>
        <w:t>Dans l’ATF 144 II 233 précité, le Tribunal fédéral a rappelé que l’art. 29a Cst. repose aussi sur cette conception extensive : l’accès à une autorité judiciaire est garanti dans toute contestation qui se rapporte à une situation juridique individuelle digne de protection (consid. 4.4 = JdT 2019 I p. 58, 61 et les références citées, notamment l’ATF 143 I 336 consid. 4.1 et 4.2 = JdT 2017 I p. 197). Dans ce dernier arrêt, les recourants ne se plaignaient pas d’une application éventuellement arbitraire du droit administratif cantonal ou du droit cantonal de procédure ; ils dénonçaient seulement une violation de la garantie de l’accès au juge conférée par l’art. 29a Cst. (ATF 143 I 336 consid. 4 = JdT 2017 I p. 197, 198).![endif]&gt;![if&gt; L’application de l’art. 29a Cst. suppose l'existence d'une cause ( Rechtsstreitigkeit ), notion interprétée par le Tribunal fédéral en ce sens que la contestation doit se rapporter à une situation juridique individuelle digne de protection (ATF 143 I 336 consid. 4.1 = JdT 2017 I p. 197, 198 et les arrêts cités). La contestation doit porter sur les droits et obligations de personnes physiques ou morales. Il y a « cause » lorsqu’un état de fait est appréhendé par les règles de la Constitution, de la loi ou d’une ordonnance, ou qu’un plaideur le prétend de manière plausible et compréhensible. L’acte concret doit être susceptible d’atteindre au moins indirectement le plaideur dans ses droits propres ; cela suppose une intensité minimum, quoique le seuil ne doive pas être excessivement élevé mais pas non plus si insuffisamment élevé qu’il en résulte un afflux de recours. Selon certains auteurs, la théorie des droits publics subjectifs n’est pas déterminante au regard de la garantie de l’accès au juge ; il suffit que l’affaire implique des droits ou obligations individuels du particulier. D’autres auteurs tiennent pour nécessaire un intérêt effectif présentant « une certaine proximité avec le droit », proximité dont le niveau exigible doit être évalué de cas en cas (ATF 143 I 336 consid. 4.1 = JdT 2017 I p. 197, 198 s avec les références citées). Des positions juridiques dignes de protection peuvent résulter de la Constitution, de la loi ou encore d’une ordonnance, ceci dans tous les domaines du droit. Une position juridique ainsi protégée existe en tous cas lorsqu’une personne allègue de manière plausible une obligation étatique de faire ou de s’abstenir, prétendument violée par l’acte matériel attaqué (comme par exemple dans l’affaire concernant la suppression de leçons de sport dans les classes d’apprentissage ou dans celle relative au droit à la protection étatique en cas d’incidents dans une centrale nucléaire). Une position juridique digne de protection peut cependant aussi résulter des modalités de l’application du droit (ATF 143 I 336 consid. 4.3, 4.3.1 et 4.3.2 = JdT 2017 I p. 197, 200 et les références citées). Le Tribunal fédéral rappelle que l’art. 25a PA se rattache à la garantie de l’accès au juge ancrée à l’art. 29a Cst. en tant qu’il doit en assurer la réalisation dans le domaine des actes matériels (ATF 143 I 336 consid. 4.2 = JdT 2017 I p. 197, 199). Dans leur domaine de compétence, il est loisible aux cantons d’adopter une conception de la protection juridique des individus contre des actes étatiques sans décision qui soit différente de celle consacrée par le législateur fédéral à l’art. 25a PA. Les cantons peuvent aller au-delà des exigences minimales de la garantie de l’accès au juge et, par exemple, retenir qu’un simple intérêt de fait sera suffisant. L’art. 29a Cst. exige toutefois que la protection juridique soit accessible au moins lorsqu’un acte matériel ou une mesure administrative interne touche des positions juridiques individuelles dignes de protection ; élucider si l’acte ou la mesure porte effectivement atteinte aux droits ou obligations de la personne concernée relève du jugement à porter sur le fond (ATF 143 I 336 consid. 4.2 = JdT 2017 I p. 197, 200).</w:t>
      </w:r>
    </w:p>
    <w:p>
      <w:r>
        <w:rPr>
          <w:b/>
        </w:rPr>
        <w:t>E. 4.9</w:t>
      </w:r>
    </w:p>
    <w:p>
      <w:r>
        <w:t>En l’espèce, l’acte matériel en cause consiste dans la modification des modalités de publication des transactions immobilières sur les sites internet du RF et de la FAO s’agissant tant de l’adresse des immeubles aliénés que de la durée pendant laquelle les données pertinentes y sont accessibles. La recourante souligne que cet acte matériel aurait pour conséquence une violation de la loi, en l’occurrence de l’art. 157 LaCC. Cette disposition, qui prévoit à son al. 1 que les acquisitions de propriété immobilière sont publiées dans la FAO et sur le site Internet de l'office dans un délai approprié, dispose notamment que la publication porte sur le numéro de l’immeuble, sa surface, sa nature et son lieu de situation ainsi que sur la nature des bâtiments mentionnés dans l’état descriptif (al. 2 let. a). Dès lors que l’adresse de l’immeuble ne figure plus sur les sites Internet précités, on ne peut à ce stade exclure une violation de cette disposition.![endif]&gt;![if&gt;</w:t>
      </w:r>
    </w:p>
    <w:p>
      <w:r>
        <w:rPr>
          <w:b/>
        </w:rPr>
        <w:t>E. 4.10</w:t>
      </w:r>
    </w:p>
    <w:p>
      <w:r>
        <w:t>L’art. 1 des statuts de la recourante prévoit qu’elle a pour but de représenter les locataires et de promouvoir la qualité de leur habitat en renforçant le maintien et le développement de logements répondant aux besoins de la population quant à leurs loyers, à leurs coûts, à leurs qualités d’habitabilité, de confort, d’environnement. Elle a également pour but de renforcer le maintien et le développement de logements sociaux et de logements pour les locataires, conservant des loyers et des prix abordables pour l’ensemble de la population. On ne peut en conséquence pas exclure que la recourante soit, plus qu’un autre administré, touchée par les modifications opérées par l’intimé en ce sens qu’elle l’empêcherait de déployer correctement les activités attendues d’elle par ses membres. Au surplus, en versant à la procédure ses échanges avec l’office dans le cadre d’une transaction immobilière passée dans la commune de B______, la recourante donne un exemple concret des entraves qu’engendrerait l’acte matériel litigieux.![endif]&gt;![if&gt;</w:t>
      </w:r>
    </w:p>
    <w:p>
      <w:r>
        <w:rPr>
          <w:b/>
        </w:rPr>
        <w:t>E. 4.11</w:t>
      </w:r>
    </w:p>
    <w:p>
      <w:r>
        <w:t>Selon l’art. 45 al. 5 LDTR, ont la qualité pour recourir auprès du TAPI et de la chambre de céans contre les décisions prises en vertu de la présente loi les personnes visées à l’art. 60 LPA ainsi que les associations régulièrement constituées d’habitants, de locataires et de propriétaires d’importance cantonale, qui existent depuis trois ans au moins, et dont le champ d’activité statutaire s’étend à l’objet concerné. Il n’est pas contestable que la recourante est directement concernée par cette disposition. Elle use d’ailleurs régulièrement de la qualité que lui confère la LDTR pour recourir devant la chambre de céans. On ne peut dès lors pas exclure que l’acte matériel contesté porte atteinte à la prérogative que la LDTR offre à la recourante notamment en restreignant sa capacité et à recourir ainsi en connaissance de cause.![endif]&gt;![if&gt; Il découle de ce qui précède que l’acte matériel litigieux est susceptible, au sens des dispositions et de la jurisprudence précitées, de porter effectivement atteinte aux droits ou obligations de la recourante.</w:t>
      </w:r>
    </w:p>
    <w:p>
      <w:r>
        <w:rPr>
          <w:b/>
        </w:rPr>
        <w:t>E. 4.12</w:t>
      </w:r>
    </w:p>
    <w:p>
      <w:r>
        <w:t>Interpellé sur ce point le 8 février 2023, l’intimé n’a pas donné suite à la demande de la recourante de rendre une décision sujette à recours. Il n’a pas non plus donné suite à sa demande du 1 er mars 2023 de rétablir la situation qui prévalait avant les modifications en cause. Pour le reste, on comprend de son courrier du 20 mars 2023 que l’intimé n’entend pas revenir aux modalités de consultation antérieures aux changements contestés.![endif]&gt;![if&gt;</w:t>
      </w:r>
    </w:p>
    <w:p>
      <w:r>
        <w:rPr>
          <w:b/>
        </w:rPr>
        <w:t>E. 5</w:t>
      </w:r>
    </w:p>
    <w:p>
      <w:r>
        <w:t>Il découle de ce qui précède que la chambre administrative doit se déclarer compétente pour trancher le litige sur le fond, à savoir vérifier si le refus de l’intimé de rétablir les modalités de publication des transactions immobilières sur les sites internet du RF et de la FAO s’agissant tant de l’adresse des immeubles aliénés que de la durée pendant laquelle les données pertinentes y sont accessibles est conforme à la loi.![endif]&gt;![if&gt; Il n’apparaît pour le reste pas que le litige relèverait d’une autre juridiction, en particulier ni du TAPI – qui ne peut être saisi que si la loi le prévoit (art. 116 al. 1 LOJ), ce qui n’est pas le cas en l’espèce – ni de la chambre de surveillance de la Cour de justice prévue par l’art. 152 LaCC, cette instance étant appelée à statuer sur les recours visés à l'article 956a du Code civil suisse du 10 décembre 1907 (CC - RS 210), soit contre les décisions de l’office.</w:t>
      </w:r>
    </w:p>
    <w:p>
      <w:r>
        <w:rPr>
          <w:b/>
        </w:rPr>
        <w:t>E. 6</w:t>
      </w:r>
    </w:p>
    <w:p>
      <w:r>
        <w:t>Le sort des frais sera réservé jusqu’à droit jugé au fond.![endif]&gt;![if&gt;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