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A/117/2011 vom 28. April 2011</w:t>
      </w:r>
    </w:p>
    <w:p>
      <w:r>
        <w:t>GE Cour de justice, 2011-04-28, FR</w:t>
      </w:r>
    </w:p>
    <w:p>
      <w:r>
        <w:rPr>
          <w:b/>
        </w:rPr>
        <w:t xml:space="preserve">Quelle: </w:t>
      </w:r>
      <w:r>
        <w:t>https://mcp.opencaselaw.ch/entscheid/ge_gerichte_A_117_2011</w:t>
      </w:r>
    </w:p>
    <w:p>
      <w:r>
        <w:t>FR: GE_GERICHTE A/117/2011 du 28 avril 2011</w:t>
      </w:r>
    </w:p>
    <w:p>
      <w:r>
        <w:t>IT: GE_GERICHTE A/117/2011 del 28 aprile 2011</w:t>
      </w:r>
    </w:p>
    <w:p>
      <w:pPr>
        <w:pStyle w:val="Heading2"/>
      </w:pPr>
      <w:r>
        <w:t>Volltext</w:t>
      </w:r>
    </w:p>
    <w:p>
      <w:r>
        <w:t>Genève Cour de justice (Cour de droit public) Chambre des assurances sociales 28.04.2011 A/117/2011</w:t>
      </w:r>
    </w:p>
    <w:p>
      <w:r>
        <w:t>A/117/2011 ATAS/418/2011 du 28.04.2011 ( LPP ) , PARTAGE LPP En fait En droit république et canton de genève POUVOIR JUDICIAIRE A/117/2011 ATAS/418/2011 COUR DE JUSTICE Chambre des assurances sociales Arrêt du 28 avril 2011 3ème Chambre En la cause Monsieur M__________, domicilié à Genève Madame M__________, domiciliée p.a. Tribunal Tutélaire, case postale 3950;1211 Genève 3, 1204 Genève demandeurs contre CAISSE DE PENSION GASTROSOCIAL, sise Bahnhofstrasse 86, postfach, 5001 Aarau FONDATION COLLECTIVE VITA p.a. ZURICH ASSURANCES, service juridique, sise rue Eugène-Pittard 16, 1206 Genève CAISSE PARITAIRE DE PRÉVOYANCE DE L'INDUSTRIE ET DE LA CONSTRUCTION (CPPIC), rue de Malatrex 14, 1201 Genève CAISSE INTER-ENTREPRISES DE PRÉVOYANCE PROFESSIONNELLE (CIEPP), rue de Saint-Jean 67, case postale 5278, 1211 Genève 11 FONDATION DE PRÉVOYANCE EN FAVEUR DU PERSONNEL DE X_________, sise à Genève FONDATION DE LIBRE PASSAGE DE LA BANQUE CANTONALE DE GENÈVE, sise case postale 2251, 1211 Genève 2 défenderesses EN FAIT Par jugement du 2 novembre 2010, la 3ème chambre du Tribunal de première instance a prononcé le divorce de Madame M__________, née N__________ en 1975, et Monsieur M__________, né en 1978, lesquels s'étaient mariés en date du 24 juin 1998. Au chiffre 2 du dispositif du jugement précité, le Tribunal de première instance a ordonné le partage par moitié des avoirs de prévoyance professionnelle acquis par chacun des époux durant le mariage. Le jugement de divorce, devenu définitif le 4 janvier 2011 a été transmis d'office au Tribunal de céans pour exécution du partage. Le Tribunal de céans a demandé aux parties de lui indiquer le(s) nom(s) de leur(s) institution(s) de prévoyance, puis aux dites institutions de lui communiquer les montants des avoirs LPP acquis par les intéressés durant le mariage, soit entre le 24 juin 1998 et le 4 janvier 2011. S'agissant du demandeur - dont il convient de relever qu'il n'avait pas encore atteint l'âge de cotiser au deuxième pilier (25 ans) au moment du mariage -, il est apparu, après consultation du rassemblement de ses comptes individuels : qu'au moment du mariage, il était employé du restaurant Y__________ et affilié à la CAISSE DE PENSION GASTROSOCIAL; qu'il a ensuite travaillé dans d'autres restaurants et a à nouveau été affilié à cette caisse jusqu'en 2003; que l'avoir qu'il a ainsi accumulé s'élevait, en date du divorce, à 877 fr. 95 (cf. décompte de la caisse du 27 janvier 2011); que le demandeur a ensuite travaillé, en 2003 et 2004, pour la société Z__________ SA et été affilié auprès de la CAISSE PARITAIRE DE PRÉVOYANCE DE L'INDUSTRIE ET DE LA CONSTRUCTION (CPPIC) auprès de laquelle il a accumulé un avoir qui s'élevait, en date du 4 janvier 2011, à 2'830 fr. 50 (cf. courrier de la CPPIC du 14 février 2011); qu'il a ensuite été au chômage puis n'a plus effectué que des missions temporaires et affilié à SWISSSTAFFING, qui a transféré ses avoirs à la BANQUE CANTONALE DE GENÈVE (cf. courrier du 24 février 2011), mais sur un compte privé et non de prévoyance, vu la modicité des sommes transmises (260 et 284 fr.; cf. courrier de la BCGE du 14 mars 2011); qu'en 2007, il a travaillé pour XA__________ SA mais sans réaliser de revenu suffisant pour être soumis à cotisation (cf. courrier de Swisslife du 16 février 2011); qu'en 2008 et 2009, il a également travaillé pour la société XB__________ et a été affilié à la FONDATION COLLECTIVE VITA (c/o Zürich ASSURANCES); que l'avoir accumulé auprès de cette fondation s'élevait, au moment de l'entrée en force du divorce, à 3'581 fr. 90 (cf. courrier de la fondation du 9 février 2011). Quant à la demanderesse - dont il convient de relever qu'elle n'avait pas non plus atteint l'âge de cotiser au deuxième pilier (25 ans) au moment du mariage -, il s'est avéré, après consultation du rassemblement de ses comptes individuels : qu'au moment du mariage, tout comme le demandeur, elle ne réalisait pas un revenu suffisant pour être soumis à cotisations; que de juillet 2000 à mai 2002, elle a été employée par la CLINIQUE XC__________ et affiliée à la CAISSE INTER-ENTREPRISES DE PRÉVOYANCE PROFESSIONNELLE (CIEPP), auprès de laquelle elle a accumulé un avoir qui s'élevait, au moment de l'entrée en force du divorce, à 2'417 fr. 80 (cf. courrier de la CIEPP du 18 février 2011); que de juillet 2001 à mai 2004, la demanderesse a également travaillé pour l'EMS XD__________ et a été affiliée à la fondation de prévoyance du personnel de ce dernier (cf. courrier de la fondation du 23 mars 2011); que son avoir a ensuite été transféré à la FONDATION DE LIBRE PASSAGE DE LA BANQUE CANTONALE DE GENÈVE auprès de laquelle l'avoir accumulé s'élevait, en date du 4 janvier 2011, à 10'692 fr. 55 (cf. courrier de la fondation du 5 avril 2011); que la demanderesse a également travaillé pour la société XE__________ SA mais sans atteindre le revenu minimum soumis à cotisations (cf. courrier de SWISSLIVE du 15 février 2011); qu'il en a été de même de son activité pour la société XF__________ SA; que depuis juin 2010, la demanderesse est affiliée à la FONDATION DE PRÉVOYANCE EN FAVEUR DU PERSONNEL DE X__________, auprès de laquelle elle avait accumulé, au moment de l'entrée en force du divorce, un montant de 3'520 fr. 10 (cf. courrier de la fondation du 18 février 2011).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24 juin 1998, date du mariage, d’autre part le 4 janvier 2011, date à laquelle le jugement de divorce est devenu exécutoire. Selon les documents produits, la prestation acquise pendant le mariage par le demandeur s'élève à 7'290 fr. 35 (877.95 + 2'830.50 + 3'581.90) tandis que celle acquise par la demanderesse atteint la somme de 16'630 fr. 45 (2'417.80 + 10'692.55 +3'520.10), les intérêts ayant déjà été calculés par les institutions de prévoyance défenderesses. Ainsi le demandeur doit à son ex-épouse le montant de 3'645 fr. 20 (7'290.35 : 2) alors qu'elle lui doit celui de 8'315 fr. 25 (16'630.45 : 2), de sorte que c’est en définitive la demanderesse qui doit à son ex-époux le montant de 4'670 fr. 05 (8'315.25 - 3'645.20).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DE LIBRE PASSAGE DE LA BANQUE CANTONALE DE GENÈVE à transférer, du compte de Madame M__________, née N__________, la somme de 4'670 fr. 05 à la FONDATION COLLECTIVE VITA en faveur de Monsieur M__________, ainsi que des intérêts compensatoires au sens des considérants, dès le 5 janvier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