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A/1178/2017 vom 13. Mai 2019</w:t>
      </w:r>
    </w:p>
    <w:p>
      <w:r>
        <w:t>GE Cour de justice, 2019-05-13, FR</w:t>
      </w:r>
    </w:p>
    <w:p>
      <w:r>
        <w:rPr>
          <w:b/>
        </w:rPr>
        <w:t xml:space="preserve">Quelle: </w:t>
      </w:r>
      <w:r>
        <w:t>https://mcp.opencaselaw.ch/entscheid/ge_gerichte_A_1178_2017</w:t>
      </w:r>
    </w:p>
    <w:p>
      <w:r>
        <w:t>FR: GE_GERICHTE A/1178/2017 du 13 mai 2019</w:t>
      </w:r>
    </w:p>
    <w:p>
      <w:r>
        <w:t>IT: GE_GERICHTE A/1178/2017 del 13 maggio 2019</w:t>
      </w:r>
    </w:p>
    <w:p>
      <w:pPr>
        <w:pStyle w:val="Heading2"/>
      </w:pPr>
      <w:r>
        <w:t>Erwägungen</w:t>
      </w:r>
    </w:p>
    <w:p>
      <w:r>
        <w:rPr>
          <w:b/>
        </w:rPr>
        <w:t>E. 5</w:t>
      </w:r>
    </w:p>
    <w:p>
      <w:r>
        <w:t>S'agissant plus particulièrement des troubles psychiques, charge l’expert psychiatre de répondre également aux questions suivantes :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d)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e) De quelles ressources mobilisables l’assurée dispose-t-elle ? f) Quel est le contexte social ? L’intéressée peut-elle compter sur le soutien de ses proches ? g) Pour le cas où il y aurait refus ou mauvaise acceptation d’une thérapie recommandée et accessible : cette attitude doit-elle être attribuée à une incapacité de l’assurée à reconnaître sa maladie ? h) Dans l’ensemble, le comportement de l’expertisée vous semble-t-il cohérent ? Pourquoi ? 6.             Invite les experts à faire une appréciation consensuelle du cas s’agissant de toutes les problématiques ayant des interférences entre elles, notamment l’appréciation de la capacité de travail résiduelle.![endif]&gt;![if&gt; 7.             Invite les experts à déposer dans les meilleurs délais un rapport en trois exemplaires à la chambre de céans.![endif]&gt;![if&gt; 8.             Réserve le sort des frais et le fond.![endif]&gt;![if&gt;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