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A/1167/2004 vom 5. Juli 2004</w:t>
      </w:r>
    </w:p>
    <w:p>
      <w:r>
        <w:t>GE Cour de justice, 2004-07-05, FR</w:t>
      </w:r>
    </w:p>
    <w:p>
      <w:r>
        <w:rPr>
          <w:b/>
        </w:rPr>
        <w:t xml:space="preserve">Quelle: </w:t>
      </w:r>
      <w:r>
        <w:t>https://mcp.opencaselaw.ch/entscheid/ge_gerichte_A_1167_2004</w:t>
      </w:r>
    </w:p>
    <w:p>
      <w:r>
        <w:t>FR: GE_GERICHTE A/1167/2004 du 5 juillet 2004</w:t>
      </w:r>
    </w:p>
    <w:p>
      <w:r>
        <w:t>IT: GE_GERICHTE A/1167/2004 del 5 luglio 2004</w:t>
      </w:r>
    </w:p>
    <w:p>
      <w:pPr>
        <w:pStyle w:val="Heading2"/>
      </w:pPr>
      <w:r>
        <w:t>Volltext</w:t>
      </w:r>
    </w:p>
    <w:p>
      <w:r>
        <w:t>Genève Cour de justice (Cour de droit public) Chambre des assurances sociales 07.09.2004 A/1167/2004</w:t>
      </w:r>
    </w:p>
    <w:p>
      <w:r>
        <w:t>A/1167/2004 ATAS/699/2004 du 07.09.2004 ( LAMAL ) , DEPENS RÉPUBLIQUE ET CANTON DE GENÈVE POUVOIR JUDICIAIRE A/1167/04/2/Lamal ATAS/699/2004 ARRET DU TRIBUNAL CANTONAL DES ASSURANCES SOCIALES 2 ème chambre du 7 septembre 2004 En la cause Madame P__________ et Monsieur M__________ , Recourants contre PHILOS SECTION FRV , av. du Casino 13 à Montreux/Vaud Intimée Vu les décisions sur opposition de la Caisse, maintenant la demande de paiement des frais de sommation et de poursuite relatifs au paiement tardif, par les recourants, de la prime de l’assurance-maladie obligatoire de juillet 2003 ; Vu les recours, joints par ordonnance du 5 juillet 2004 ; Vu l’audience de comparution personnelles des parties du 31 août 2004 ; Vu l’accord de la caisse, à cette occasion, de renoncer à bien plaire à ces frais ; PAR CES MOTIFS, LE TRIBUNAL CANTONAL DES ASSURANCES SOCIALES Statuant d’accord entre les parties (conformément à la disposition transitoire de l’art. 162 LOJ) Donne acte à PHILOS SECTION FRV de ce qu’elle renonce aux frais réclamés à Madame P__________ et Monsieur M__________ mentionnés dans Ses décisions du 4 mai 2004.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