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A/1166/2003 vom 6. Januar 2004</w:t>
      </w:r>
    </w:p>
    <w:p>
      <w:r>
        <w:t>GE Cour de justice, 2004-01-06, FR</w:t>
      </w:r>
    </w:p>
    <w:p>
      <w:r>
        <w:rPr>
          <w:b/>
        </w:rPr>
        <w:t xml:space="preserve">Quelle: </w:t>
      </w:r>
      <w:r>
        <w:t>https://mcp.opencaselaw.ch/entscheid/ge_gerichte_A_1166_2003</w:t>
      </w:r>
    </w:p>
    <w:p>
      <w:r>
        <w:t>FR: GE_GERICHTE A/1166/2003 du 6 janvier 2004</w:t>
      </w:r>
    </w:p>
    <w:p>
      <w:r>
        <w:t>IT: GE_GERICHTE A/1166/2003 del 6 gennaio 2004</w:t>
      </w:r>
    </w:p>
    <w:p>
      <w:pPr>
        <w:pStyle w:val="Heading2"/>
      </w:pPr>
      <w:r>
        <w:t>Regeste</w:t>
      </w:r>
    </w:p>
    <w:p>
      <w:r>
        <w:t>JPT</w:t>
      </w:r>
    </w:p>
    <w:p>
      <w:pPr>
        <w:pStyle w:val="Heading2"/>
      </w:pPr>
      <w:r>
        <w:t>Erwägungen</w:t>
      </w:r>
    </w:p>
    <w:p>
      <w:r>
        <w:rPr>
          <w:b/>
        </w:rPr>
        <w:t>E. 1</w:t>
      </w:r>
    </w:p>
    <w:p>
      <w:r>
        <w:t>Interjeté en temps utile devant la juridiction compétente, le recours est recevable (art. 56A LOJ; art. 63 al. 1 litt. a de la loi sur la procédure administrative du 12 septembre 1985 - LPC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Le recourant a protesté contre l'inégalité de traitement dont il s'estimait victime au motif que l'article 39 RLPAv ne lui laissait pas la possibilité, comme à d'autres candidats, de se présenter à nouveau à une session d'épreuve intermédiaire, puis de nouveau à une nouvelle épreuve finale. Cependant, le recourant n'a pris aucune conclusion dans ce sens, ni à titre principal, ni à titre subsidiaire de sorte que ce grief sera rejeté, le tribunal ne pouvant statuer ultra petita.</w:t>
      </w:r>
    </w:p>
    <w:p>
      <w:r>
        <w:rPr>
          <w:b/>
        </w:rPr>
        <w:t>E. 4</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29 avril 2003 impliquait le recours à la loi d'application de la LCD, et quelles sont les conséquences de la non-remise de cette loi aux candidats.</w:t>
      </w:r>
    </w:p>
    <w:p>
      <w:r>
        <w:rPr>
          <w:b/>
        </w:rPr>
        <w:t>E. 5</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 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 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 Enfin, la commission revient à plusieurs reprises sur le fait que l'application de l'une ou l'autre loi aboutit au même résultat, que ce soit sur le fond ou sur le plan de la compétence ratione materiae. 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6</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7</w:t>
      </w:r>
    </w:p>
    <w:p>
      <w:r>
        <w:t>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 La commission a reconnu l'influence qu'a pu avoir l'absence du texte légal sur le résultat de l'examen lorsqu'elle a décidé de faire preuve de mansuétude dans la correction "pour tenir compte du stress supplémentaire possiblement occasionné".</w:t>
      </w:r>
    </w:p>
    <w:p>
      <w:r>
        <w:rPr>
          <w:b/>
        </w:rPr>
        <w:t>E. 8</w:t>
      </w:r>
    </w:p>
    <w:p>
      <w:r>
        <w:t>Il reste à déterminer si le vice constaté peut être réparé, notamment en prenant en considération lors de la correction des travaux l'absence de la loi d'application de la LCD.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 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9</w:t>
      </w:r>
    </w:p>
    <w:p>
      <w:r>
        <w:t>Au vu de l'issue du litige, il n'est pas nécessaire d'examiner les autres griefs soulevés par le recourant. Le recours sera ainsi partiellement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w:t>
      </w:r>
    </w:p>
    <w:p>
      <w:r>
        <w:rPr>
          <w:b/>
        </w:rPr>
        <w:t>E. 10</w:t>
      </w:r>
    </w:p>
    <w:p>
      <w:r>
        <w:t>Aucune indemnité ne sera allouée au recourant, lequel a agi en personne et n'a pas allégué avoir dû supporter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