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A/1158/2023 vom 14. Mai 2024</w:t>
      </w:r>
    </w:p>
    <w:p>
      <w:r>
        <w:t>GE Cour de justice, 2024-05-14, FR</w:t>
      </w:r>
    </w:p>
    <w:p>
      <w:r>
        <w:rPr>
          <w:b/>
        </w:rPr>
        <w:t xml:space="preserve">Quelle: </w:t>
      </w:r>
      <w:r>
        <w:t>https://mcp.opencaselaw.ch/entscheid/ge_gerichte_A_1158_2023</w:t>
      </w:r>
    </w:p>
    <w:p>
      <w:r>
        <w:t>FR: GE_GERICHTE A/1158/2023 du 14 mai 2024</w:t>
      </w:r>
    </w:p>
    <w:p>
      <w:r>
        <w:t>IT: GE_GERICHTE A/1158/2023 del 14 maggio 2024</w:t>
      </w:r>
    </w:p>
    <w:p>
      <w:pPr>
        <w:pStyle w:val="Heading2"/>
      </w:pPr>
      <w:r>
        <w:t>Regeste</w:t>
      </w:r>
    </w:p>
    <w:p>
      <w:r>
        <w:t>DROIT DES ÉTRANGERS;RESSORTISSANT ÉTRANGER;AUTORISATION DE SÉJOUR;CAS DE RIGUEUR;RECONSIDÉRATION;MODIFICATION DES CIRCONSTANCES;NOUVEAU MOYEN DE FAIT;ADOLESCENT;JEUNE ADULTE | Recours contre le refus d'entrée en matière sur la demande de reconsidération du recourant, âgé de bientôt 21 ans et qui fait l'objet d'un refus d'autorisation de séjour prononcé alors qu'il avait 12 ans. Ce sont ses parents qui ne se sont en tant que tels pas conformés à ce refus, puisque lui était mineur et sous leur autorité. Il a depuis passé l'entier de son adolescence en Suisse, période décisive pour la formation de sa personnalité, et le début de sa vie d'adulte. Ces éléments doivent être pris en compte à titre de mortification de circonstances justifiant l'entrée en matière sur la demande de reconsidération. Recours admis dans la mesure de sa recevabilité et dossier renvoyé à l'OCPM pour nouvel examen des conditions de délivrance d'une autorisation de séjour pour cas individuel d'extrême gravité. | LPA.48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de l’OCPM du 30 mars 2023 d’entrer en matière sur la demande d’autorisation de séjour du recourant pour cas de rigueur, traitée comme une demande de reconsidération.</w:t>
      </w:r>
    </w:p>
    <w:p>
      <w:r>
        <w:rPr>
          <w:b/>
        </w:rPr>
        <w:t>E. 3</w:t>
      </w:r>
    </w:p>
    <w:p>
      <w:r>
        <w:t>Le recourant affirme qu'une autorisation de séjour devrait lui être délivrée.</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ATA/1111/2023 du 10 octobre 2023 consid. 3.1).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ATA/1111/2023 précité consid. 3.1 et les références citées).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ATA/1274/2023 du 28 novembre 2023 consid. 2.3).</w:t>
      </w:r>
    </w:p>
    <w:p>
      <w:r>
        <w:rPr>
          <w:b/>
        </w:rPr>
        <w:t>E. 3.2</w:t>
      </w:r>
    </w:p>
    <w:p>
      <w:r>
        <w:t>Une demande de reconsidération ne doit pas permettre de remettre continuellement en cause des décisions entrées en force et d'éluder les dispositions légales sur les délais de recours (ATF 136 II 177 consid. 2.1 ; arrêt du Tribunal fédéral 2C_883/2018 du 21 mars 2019 consid. 4.3 ; Thierry TANQUEREL, Manuel de droit administratif, 2 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Tribunal fédéral 2C_556/2018 du 14 novembre 2018 consid. 3 et les références citées).</w:t>
      </w:r>
    </w:p>
    <w:p>
      <w:r>
        <w:rPr>
          <w:b/>
        </w:rPr>
        <w:t>E. 3.4</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w:t>
      </w:r>
    </w:p>
    <w:p>
      <w:r>
        <w:rPr>
          <w:b/>
        </w:rPr>
        <w:t>E. 3.5</w:t>
      </w:r>
    </w:p>
    <w:p>
      <w:r>
        <w:t>En l'espèce, le recourant fait valoir son intégration particulièrement poussée en Suisse, vu son arrivée à 8 ans et son séjour d'une durée de douze ans, dont toute l'adolescence et le début de sa vie d'adulte, sa scolarisation en Suisse et sa volonté de participer à la vie économique en Suisse. Le recourant a fait l'objet, avec sa famille, d'un refus d'autorisation de séjour et du prononcé de son renvoi de Suisse, en avril 2016. En 2021, la chambre administrative a relevé, dans le cadre d'une précédente demande de reconsidération, que les éléments alors allégués en relation avec le parcours des enfants ne relevaient que de l'écoulement du temps et ne sauraient être pris en compte à titre de modification notable des circonstances, sous peine de récompenser la persistance dans le non‑respect des décisions en force ( ATA/1196/2021 précité consid. 5). Néanmoins, depuis la précédente demande de reconsidération formée devant l'autorité intimée, le recourant est devenu majeur, de sorte que son sort ne suit plus nécessairement celui de ses parents. Or, s'il est effectivement resté en Suisse en dépit de la décision de refus d'autorisation de séjour et de renvoi de la famille et malgré les délais impartis pour l'exécution de celui-ci, il était, lors du prononcé de cette décision, âgé de 12 ans, presque 13 ans. Il était par ailleurs adolescent aux moments des refus d'entrée en matière de l'autorité intimée sur les précédentes demandes de reconsidération. Ainsi, ce sont ses parents qui ne se sont en tant que tels pas conformés à la décision dont la famille a fait l'objet, plus que le recourant, qui était lui encore mineur et sous leur autorité. Il apparaît dans ce contexte difficile de reprocher au recourant lui‑même de ne pas s'être conformé à la décision de refus d'autorisation de séjour et de renvoi. Il a depuis lors passé l'entier de son adolescence en Suisse, période décisive pour la formation de la personnalité, puis le début de sa vie d'adulte, étant aujourd'hui âgé de bientôt 21 ans. Si ces éléments découlent de l'écoulement du temps, ils doivent dans le cas particulier tout de même être pris en compte à titre de modification de circonstances justifiant un nouvel examen des conditions de délivrance d'une autorisation de séjour pour cas individuel d'extrême gravité, le non-respect de la décision du 19 avril 2016 n'étant pas directement imputable au recourant. Par conséquent, il doit être retenu que l'OCPM aurait dû entrer en matière sur la demande de reconsidération et, au besoin, l'instruire, pour ensuite prononcer une décision au fond sur la demande de délivrance d'une autorisation de séjour pour cas individuel d'extrême gravité au recourant. Dans ces circonstances et au vu de l'irrecevabilité de la conclusion en délivrance de l'autorisation de séjour, exorbitante au présent litige, le recours sera admis dans la mesure de sa recevabilité. Le jugement du TAPI et la décision de l'OCPM seront annulés. Le dossier sera renvoyé à l'autorité intimée pour entrée en matière sur la demande de reconsidération du recourant et décision au fond.</w:t>
      </w:r>
    </w:p>
    <w:p>
      <w:r>
        <w:rPr>
          <w:b/>
        </w:rPr>
        <w:t>E. 4</w:t>
      </w:r>
    </w:p>
    <w:p>
      <w:r>
        <w:t>Vu l'issue du litige, il ne sera pas perçu d'émolument (art. 87 al. 1 LPA) et une indemnité de procédure de CHF 800.-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