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A/1157/2022 vom 17. Januar 2023</w:t>
      </w:r>
    </w:p>
    <w:p>
      <w:r>
        <w:t>GE Cour de justice, 2023-01-17, FR</w:t>
      </w:r>
    </w:p>
    <w:p>
      <w:r>
        <w:rPr>
          <w:b/>
        </w:rPr>
        <w:t xml:space="preserve">Quelle: </w:t>
      </w:r>
      <w:r>
        <w:t>https://mcp.opencaselaw.ch/entscheid/ge_gerichte_A_1157_2022</w:t>
      </w:r>
    </w:p>
    <w:p>
      <w:r>
        <w:t>FR: GE_GERICHTE A/1157/2022 du 17 janvier 2023</w:t>
      </w:r>
    </w:p>
    <w:p>
      <w:r>
        <w:t>IT: GE_GERICHTE A/1157/2022 del 17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du jugement confirmant la décision de l'OCPM de refuser de transmettre au SEM le dossier du recourant avec un préavis favorable, et prononçant son renvoi de Suisse.![endif]&gt;![if&gt;</w:t>
      </w:r>
    </w:p>
    <w:p>
      <w:r>
        <w:rPr>
          <w:b/>
        </w:rPr>
        <w:t>E. 3</w:t>
      </w:r>
    </w:p>
    <w:p>
      <w:r>
        <w:t>![endif]&gt;![if&gt;</w:t>
      </w:r>
    </w:p>
    <w:p>
      <w:r>
        <w:rPr>
          <w:b/>
        </w:rPr>
        <w:t>E. 3.1</w:t>
      </w:r>
    </w:p>
    <w:p>
      <w:r>
        <w:t>Le 1 er janvier 2019 est entrée en vigueur une modification de la loi fédérale sur les étrangers et l'intégration du 16 décembre 2005 (LEI - RS 142.20) et de l’OASA. Conformément à l'art. 126 al. 1 LEI, les demandes déposées, comme en l'espèce, après le 1 er janvier 2019 sont régies par le nouveau droit (arrêt du Tribunal fédéral 2C_1075/2019 du 21 avril 2020 consid. 1.1).![endif]&gt;![if&gt;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![endif]&gt;![if&gt;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[ci-après : SEM], Directives et commentaires, Domaine des étrangers, 2013 état au 1 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La jurisprudence requiert, de manière générale, une très longue durée (Minh SON NGUYEN/Cesla AMARELLE, Code annoté de droit des migrations, LEtr, vol. 2, 2017, p. 269 et les références citées). ![endif]&gt;![if&gt;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ATAF 2007/45 consid. 4.4 et 6.3 ; 2007/44 consid. 5.2).</w:t>
      </w:r>
    </w:p>
    <w:p>
      <w:r>
        <w:rPr>
          <w:b/>
        </w:rPr>
        <w:t>E. 3.5</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cité).![endif]&gt;![if&gt;</w:t>
      </w:r>
    </w:p>
    <w:p>
      <w:r>
        <w:rPr>
          <w:b/>
        </w:rPr>
        <w:t>E. 3.6</w:t>
      </w:r>
    </w:p>
    <w:p>
      <w:r>
        <w:t>En l’espèce, le recourant dit être arrivé en Suisse en janvier 2015 mais n’est pas en mesure de démontrer un séjour continu depuis lors, en particulier entre octobre 2016 et octobre 2019. Même à retenir une telle durée, elle ne saurait être considérée comme très longue, à teneur de la jurisprudence précitée, et devrait en outre être relativisée, ayant été effectuée sans autorisation et n’étant que tolérée depuis le dépôt de la requête, le 3 décembre 2021.![endif]&gt;![if&gt; Si certes, le recourant n’a pas fait l’objet de condamnation pénale, n’a pas de poursuites, n’a pas bénéficié de prestations d’aide sociale et a démontré un niveau de langue française A2, il s’agit d’éléments qui peuvent être attendus de tout étranger désireux de s'établir durablement en Suisse et ne constituent donc pas un élément extraordinaire en sa faveur. Le recourant ne démontre pas un investissement particulier dans la vie associative genevoise, ni ne se prévaut de relations de travail, d'amitié, de voisinage nouées durant son séjour en Suisse, lesquelles ne constitueraient en tout état pas, à elles seules, des circonstances de nature à justifier un cas de rigueur. Il n’établit pas non plus une excellente intégration socioculturelle et professionnelle tel que définie, de façon stricte, par la jurisprudence. Il pourra faire valoir dans son pays d’origine les compétences et expériences professionnelles acquises en Suisse, de même que ses connaissances linguistiques en français. Il a passé toute son enfance, son adolescence et le début de sa vie d’adulte dans son pays d'origine, dont il maîtrise la langue et connait les us et coutumes. Agé de 30 ans, il est en bonne santé, ce qui lui constitue des éléments lui permettant de se réintégrer dans son pays. Il a sollicité des visas pour s’y rendre pour raisons familiales, ce qui démontre qu’il y a conservé des proches qui pourront le soutenir à son retour. Il n'apparaît pas non plus que les difficultés auxquelles il devrait faire face en cas de retour au Kosovo seraient pour lui plus graves que pour la moyenne des étrangers, en particulier des ressortissants kosovars retournant dans leur pays. Sa réintégration au Kosovo n’est donc pas gravement compromise. Il ne se justifie donc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L'autorité intimée était en conséquence fondée à refuser de donner une suite positive à la demande d'autorisation de séjour déposée par le recourant et l'instance précédente à confirmer ledit refus.</w:t>
      </w:r>
    </w:p>
    <w:p>
      <w:r>
        <w:rPr>
          <w:b/>
        </w:rPr>
        <w:t>E. 4</w:t>
      </w:r>
    </w:p>
    <w:p>
      <w:r>
        <w:t>![endif]&gt;![if&gt;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w:t>
      </w:r>
    </w:p>
    <w:p>
      <w:r>
        <w:rPr>
          <w:b/>
        </w:rPr>
        <w:t>E. 4.2</w:t>
      </w:r>
    </w:p>
    <w:p>
      <w:r>
        <w:t>En l’occurrence, dès lors qu'il a, à juste titre, refusé l’octroi d’une autorisation de séjour au recourant, l’OCPM devait prononcer son renvoi. ![endif]&gt;![if&gt; Pour le surplus,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w:t>
      </w:r>
    </w:p>
    <w:p>
      <w:r>
        <w:rPr>
          <w:b/>
        </w:rPr>
        <w:t>E. 5</w:t>
      </w:r>
    </w:p>
    <w:p>
      <w:r>
        <w:t>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