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A/1157/2018 vom 3. Oktober 2018</w:t>
      </w:r>
    </w:p>
    <w:p>
      <w:r>
        <w:t>GE Cour de justice, 2018-10-03, FR</w:t>
      </w:r>
    </w:p>
    <w:p>
      <w:r>
        <w:rPr>
          <w:b/>
        </w:rPr>
        <w:t xml:space="preserve">Quelle: </w:t>
      </w:r>
      <w:r>
        <w:t>https://mcp.opencaselaw.ch/entscheid/ge_gerichte_A_1157_2018</w:t>
      </w:r>
    </w:p>
    <w:p>
      <w:r>
        <w:t>FR: GE_GERICHTE A/1157/2018 du 3 octobre 2018</w:t>
      </w:r>
    </w:p>
    <w:p>
      <w:r>
        <w:t>IT: GE_GERICHTE A/1157/2018 del 3 ottobre 2018</w:t>
      </w:r>
    </w:p>
    <w:p>
      <w:pPr>
        <w:pStyle w:val="Heading2"/>
      </w:pPr>
      <w:r>
        <w:t>Erwägungen</w:t>
      </w:r>
    </w:p>
    <w:p>
      <w:r>
        <w:rPr>
          <w:b/>
        </w:rPr>
        <w:t>E. 25</w:t>
      </w:r>
    </w:p>
    <w:p>
      <w:r>
        <w:t>septembre 2015; arrêt du Tribunal fédéral 8C_662/2016 du 23 mai 2017 consid. 2.2). Les dispositions légales concernées par ladite modification seront donc citées dans leur teneur en vigueur jusqu'au 31 décembre 2016 (ci-après : aLAA, respectivement aOLAA).![endif]&gt;![if&gt; 4.        Le délai de recours est de trente jours (art. 60 al. 1 LPGA). En tenant compte de la suspension des délais du 7 ème jour avant Pâques au 7 ème jour après Pâques inclusivement (art. 38 al. 4 let. a LPGA, applicable par renvoi de l’art. 60 al. 2 LPGA), soit du 25 mars au 8 avril 2018, le recours a été interjeté en temps utile dans la mesure où il a été déposé le 9 avril 2018 contre la décision du 1 er mars 2018 reçue au plus tôt le lendemain. Respectant également la forme prévue par la loi, il est recevable (art. 56 à 61 LPGA). ![endif]&gt;![if&gt; 5.        Le litige porte sur la question de savoir si les atteintes que le recourant a subies à l’épaule droite et au coude droit doivent être prises en charge par l’intimée au-delà du 25 octobre 2017.![endif]&gt;![if&gt;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L’art. 6 al. 2 aLAA a conféré au Conseil fédéral la compétence d’étendre la prise en charge par l’assurance-accidents à des lésions assimilables à un accident. Selon l'ancien art. 9 al. 2 de l'ordonnance sur l'assurance-accidents (OLAA ; RS 832.202), adopté sur la base de cette disposition, en vigueur jusqu’au 31 décembre 2016,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 les troubles constatés ne sont pas à la charge de l'assurance-accidents (ATF 129 V 466 consid. 4.2). b/bb. Les lésions de tendons (déchirures, élongations et extensions) ne peuvent pas toutes être qualifiées de lésions corporelles assimilées à un accident, mais uniquement les déchirures de tendons et, avec des exigences plus sévères en matière de preuve, les déchirures partielles de tendons (arrêt du Tribunal fédéral des assurances U 277/99 du 30 août 2001 consid. 4c ; ATF 114 V 306 consid. 5c ; Recommandation n° 2/86 de la Commission ad hoc sinistres LAA, Lésions corporelles assimilées à un accident [LCAA], révision du 20 mars 2012, ch. II). Lorsque sont réunis tous les éléments caractéristiques d'un accident, à l'exception du facteur extérieur de caractère extraordinaire, une déchirure de la coiffe des rotateurs peut être assimilée à une déchirure de tendons au sens de l'art. 9 al. 2 let. f OLAA (123 V 43 consid. 2b). 7.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atteint, l'assureur-accidents doit prendre à sa charge le traitement de l'état maladif préexistant, dans la mesure où il a été causé ou aggravé par l'accident (arrêts du Tribunal fédéral 8C_1003/2010 du 22 novembre 2011 consid. 1.2 et 8C_552/2007 du 19 février 2008 consid. 2). Lorsque le statu quo sine ou ante est atteint, la causalité partielle cesse pour l’état maladif qui subsiste (arrêt du Tribunal fédéral 8C_476/2011 du 5 décembre 2011 consid. 6.1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c/aa. Par opposition, les lésions énumérées à l’art. 9 al. 2 aOLAA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en vigueur jusqu’au 31 décembre 2016.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2007 consid. 4.2; arrêt du Tribunal fédéral des assurances U 220/02 du 6 août 2003 consid. 2). Ainsi, en matière de lésions assimilées assimilées à un accident au sens de l’art. 9 al. 2 aOLAA, la question déterminante, pour le refus de prestations d’assurance, n’est pas de savoir si les lésions subies revêtent, au degré de la vraisemblance prépondérante, une origine dégénérative – par opposition à une origine accidentelle – mais si cette origine est exclusivement dégénérative (arrêts du Tribunal fédéral 8C_698/2007 du 27 octobre 2008 consid. 5 ; 8C_357/2007 du 31 janvier 2008 consid. 5 ; arrêt du Tribunal fédéral des assurances U 162/06 du 10 avril 2007 consid. 5.2.1). Ces règles sont également applicables lorsqu'une des lésions figurant sur la liste de l'art. 9 al. 2 aOLAA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consid. 3.2 et 8C_357/2007 consid. 3.2). c/bb.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(arrêt du Tribunal fédéral des assurances du 20 août 1997 consid. 2b; ATF 116 V 152 , consid. 4d).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9.        a.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assuré.![endif]&gt;![if&gt; b.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(arrêts du Tribunal fédéral 8C_926/2008 du 30 juillet 2009 consid. 7.1 et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Meyer (éd.), Schweizerisches Bundesverwaltungsrecht, vol. XIV, Soziale Sicherheit, 3 ème éd. 2016, p. 973, n. 214).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13.    En l’espèce, il est constant qu’en raison d’une chute survenue le 5 janvier 2014 lors d’un match de football, le recourant a subi une atteinte tant à l’épaule droite qu’au coude droit, dont la relation de causalité avec cet accident a été admise par l’intimée lors des rechutes du 2 février 2015 et du 10 juin 2016, justifiant ainsi la prise en charge du traitement médical de ces deux atteintes ainsi que l’incapacité de travail (variable) du recourant jusqu’au 25 octobre 2017, date à laquelle, de l’avis de l’intimée, les troubles résiduels ne découlaient plus des suites de l’accident du 5 janvier 2014 mais étaient de nature maladive. ![endif]&gt;![if&gt; Faisant sienne l’appréciation du 23 octobre 2017 du Dr F______ pour l’épaule droite, l’intimée fait valoir en substance qu’une IRM effectuée le 24 avril 2014, mettait déjà en évidence un état maladif antérieur à l’accident, prenant la forme d’une arthrose acromio-claviculaire importante puis d’un conflit sous-acromial et enfin d’une tendinopathie avec signes de rupture nécessitant une révision de la coiffe des rotateurs et une excision de la clavicule distale. En conséquence, la pathologie dégénérative qui existait déjà au moment de l’accident du 5 juin 2014 était désormais la cause des douleurs et de l’intervention chirurgicale pratiquée le 19 décembre 2017. Quant aux troubles de l’épaule droite en relation de causalité avec l’accident, le statu quo sine avait été atteint au plus tard trois mois après l’accident, compte tenu du mécanisme de l’événement (chute sans énergie cinétique élevée). Cette appréciation ne convainc pas pour plusieurs raisons. Premièrement, le Dr F______ ne se réfère pas à la description de l’événement par l’assuré le 19 mai 2014 : « Nous jouions sur du gazon synthétique et alors que le terrain était mouillé, en courant j’ai glissé du pied droit. Malheureusement, mon pied est arrivé ensuite sur une zone sèche et il a été bloqué d’un seul coup. J’ai perdu l’équilibre et je suis tombé sur le coude droit puis sur l’épaule droite » (cf. dossier intimée, pce 45). Or, en appréciant ces mêmes faits, le rapport du 20 octobre 2017 du Prof. G______ évoque une « violente chute lors d’un jeu de football », mettant en doute l’absence d’énergie cinétique élevée. En second lieu, le Dr F______ n’explique pas, dans son rapport du 23 octobre 2017, pourquoi il avait considéré, dans ses appréciations antérieures, toutes postérieures de plus de trois mois à l’accident, que l’incapacité de travail était toujours justifiée pour les seules suites de l’accident (rapport du 31 juillet 2014), que le lien de causalité entre la tendinite de la coiffe des rotateurs et l’accident du 5 janvier 2014 lui paraissait probable (rapport du 2 novembre 2014) et que les troubles mentionnés par le Dr E______ en juillet 2016 (soit après la seconde rechute) présentaient un lien de causalité pour le moins probable avec l’accident du 5 janvier 2014 (rapport du 18 juillet 2016). Or, si le Dr F______ était d’avis, le 2 novembre 2014, que la tendinite de la coiffe des rotateurs était probablement due à l’accident, c’était notamment en connaissance des IRM des 24 avril et 24 septembre 2014. Dans ces circonstances, le fait de se focaliser, les 23 octobre 2017 et 14 février 2018, sur les seuls remaniements dégénératifs objectivés par ces mêmes IRM convainc d’autant moins que le Dr F______ semble ne pas s’être procuré l’IRM du 30 janvier 2017 – elle ne figure en tout cas pas au dossier versé à la procédure – sur laquelle le Prof. G______ se fonde le 20 octobre 2017 pour retenir qu’il existe une indication à une révision chirurgicale de la coiffe des rotateurs. S’agissant de l’atteinte au coude droit, l’appréciation du 1 er septembre 2017 du Dr F______ ne convainc guère non plus en tant qu’elle retient que la présence d’un kyste arthrosynovial, objectivée à l’IRM du 8 juin 2017, indiquerait la présence d’une atteinte dégénérative. En effet, quoi qu’en dise l’intimée, le Dr I______ ne se contente pas de développer un raisonnement « post hoc ergo propter hoc » dans son rapport du 31 octobre 2017, il explique que la présence du kyste arthrosynovial s’inscrit dans l’évolution du coude depuis l’accident, celle-ci étant notamment marquée par un épanchement articulaire qui constituerait, selon lui, la cause de ce kyste. Le Dr F______ ne prend cependant pas position au sujet de cette relation de cause à effet expliquée par son confrère, ce qui rend ses appréciations du 1 er septembre 2017 et 14 février 2018 d’autant plus lacunaires qu’en date du 31 mars 2015, une IRM du coude « gauche » (recte : droit) objectivait déjà la présence d’une lame d’épanchement intra-articulaire. Or, à cette époque, soit le 8 mai 2015 – et même après la rechute du 10 juin 2016 –, le Dr F______ était lui-même d’avis que l’enthésopathie des épicondyliens était en relation de causalité pour le moins probable avec l’accident du 5 janvier 2014. Compte tenu de ce qui précède, la fin des prestations d’assurance au 25 octobre 2017 se fonde sur des appréciations médicales dépourvues de valeur probante. La chambre de céans ne peut pas non plus se fonder sur les rapports des médecins traitants, insuffisamment motivés. À cet égard, le rapport du 20 octobre 2017 du Prof. G______ repose principalement sur un raisonnement « post hoc ergo propter hoc ». Quant à l’appréciation du 31 octobre 2017 du Dr I______, elle demeure trop succincte sur l’étiologie du kyste arthrosynovial. En l’état actuel de l’instruction du cas, la chambre de céans n’est donc pas en mesure de se prononcer sur la survenance du « statu quo sine » à la date retenue par l’intimée. Aussi s’impose-t-il de mettre en œuvre une expertise. Celle-ci sera confiée au Docteur N______, FMH chirurgie orthopédique, à Carouge. PAR CES MOTIFS, LA CHAMBRE DES ASSURANCES SOCIALES : Statuant préparatoirement À la forme : 1.        Ordonne une expertise orthopédique, l’expert ayant pour mission d’examiner et d’entendre Monsieur A______, après s’être entouré de tous les éléments utiles et après avoir pris connaissance du dossier (y compris radiologique) de l’intimée et du recourant, ainsi que du dossier de la présente procédure, en s’entourant de l’avis de tiers au besoin.![endif]&gt;![if&gt; Au fond : 2.        Commet à cette fin le docteur N______, FMH chirurgie orthopédique, à Carouge, spécialiste FMH en chirurgie orthopédique.![endif]&gt;![if&gt; 3.        Charge l’expert de répondre aux questions suivantes :![endif]&gt;![if&gt; 1.      Anamnèse détaillée.![endif]&gt;![if&gt; 2.      Donnée subjectives du recourant.![endif]&gt;![if&gt; 3.      Constatations objectives.![endif]&gt;![if&gt; 4.      Diagnostic(s) précis.![endif]&gt;![if&gt; 5.      Indiquer depuis les atteintes à l’épaule droite et au coude droit sont présentes chez le recourant et comment elles ont évolué.![endif]&gt;![if&gt; Décrire leur évolution jusqu’à l’accident du 5 janvier 2014 et après. 6.      Dire si la/les lésion(s) de l’épaule droite du recourant sont imputables à l’événement accidentel du 5 janvier 2014 et, si oui, laquelle/lesquelles ?![endif]&gt;![if&gt; 7.      Le recourant présente-t-il des atteintes dégénératives préexistantes de l’épaule droite et/ou du coude droit ?![endif]&gt;![if&gt; Dans l’affirmative, quelles sont ces atteintes et quel est leur degré de gravité ? Veuillez détailler et motiver votre réponse. 8.      Veuillez indiquer quelles sont les limitations fonctionnelles.![endif]&gt;![if&gt; 9.      Quels ont été les diagnostics révélés par les diverses IRM/arthro-IRM de l’épaule droite et du coude droit versées au dossier ? Lesquels correspondent à une lésion corporelle figurant à l’art. 9 al. 2 aOLAA ?![endif]&gt;![if&gt; S’agissant des diagnostics qui, à l’épaule droite et/ou au coude droit, correspondent à une lésion corporelle figurant à l’art. 9 al. 2 aOLAA : a.    Ces atteintes sont-elles d’origine exclusivement dégénérative ? Veuillez motiver.![endif]&gt;![if&gt; b.    L’accident du 5 janvier 2014 a-t-il joué un rôle, même partiel, dans la survenance de ces atteintes ? En d’autres termes, l’accident est-il une cause possible, au moins à titre partiel, de ces atteintes ?![endif]&gt;![if&gt; c.    En particulier, les atteintes ayant nécessité l’intervention du 19 décembre 2017 sont-elles dues à l’accident du 5 janvier 2014 d’une façon possible (moins de 50%), probable (plus de 50%) ou certaine (100%) ? Si l’intervention était justifiée à la fois par des troubles accidentels et maladifs, préciser si l’indication pathologique ou traumatique était prépondérante.![endif]&gt;![if&gt; d.   Les atteintes pour lesquelles le Dr I______ retient une indication opératoire dans son rapport du 31 octobre 2017 sont-elles dues à l’accident du 5 janvier 2014 d’une façon possible (moins de 50%), probable (plus de 50%) ou certaine (100%) ? Si l’intervention envisagée est justifiée à la fois par des troubles accidentels et maladifs, préciser si l’indication pathologique ou traumatique est prépondérante.![endif]&gt;![if&gt; e.    Le cas échéant, quels sont les facteurs étrangers à l’accident du 5 janvier 2014 qui ont contribué, avec ledit accident, à la survenance de ces atteintes ?![endif]&gt;![if&gt; f.     L’accident du 5 janvier 2014 a-t-il déclenché un processus qui serait de toute façon survenu sans cet événement ?![endif]&gt;![if&gt; g.    À partir de quand les facteurs étrangers sont-ils manifestement devenus, ou deviennent-ils manifestement les seules causes influant sur l’état de santé du recourant (« statu quo sine » ou « statu quo ante » atteint) ?![endif]&gt;![if&gt; h.    Pour autant que l’accident du 5 janvier 2014 ait joué un rôle, même partiel, dans la survenance de ces atteintes, celles-ci ont-elles entraîné une incapacité de travail ? Si oui, depuis quand et à quel taux ? Comment ce taux a-t-il évolué ?![endif]&gt;![if&gt; i.      Pour autant que l’accident du 5 janvier 2014 ait joué un rôle, même partiel, dans la survenance de ces atteintes et que le « statu quo sine » ou « statu quo ante » ne soit pas atteint, estimez-vous qu’il y a encore lieu d’attendre de la continuation du traitement médical une sensible amélioration de l’état de santé du recourant ? Si oui, à quelle date peut-on s’attendre à une stabilisation de son état de santé ? Si non, depuis quand l’état de santé du recourant est-il stabilisé ? ![endif]&gt;![if&gt; S’agissant des diagnostics qui, à l’épaule droite et/ou au coude droit, ne correspondant pas à une lésion corporelle figurant à l’art. 9 al. 2 aOLAA : j.      L’accident du 5 janvier 2014 est-il la cause unique ou une cause partielle (condition sine qua non) de ces atteintes ? Plus précisément, le lien de causalité est-il seulement possible (moins de 50% dû à l’accident), probable (plus de 50% dû à l’accident) ou certain (100% dû à l’accident) ?![endif]&gt;![if&gt; k.      En particulier, les atteintes ayant nécessité l’intervention du 19 décembre 2017 sont-elles dues à l’accident du 5 janvier 2014 d’une façon possible (moins de 50%), probable (plus de 50%) ou certaine (100%) ? Si l’intervention était justifiée à la fois par des troubles accidentels et maladifs, préciser si l’indication pathologique ou traumatique était prépondérante.![endif]&gt;![if&gt; l.        Les atteintes pour lesquelles le Dr I______ retient une indication opératoire dans son rapport du 31 octobre 2017 sont-elles dues à l’accident du 5 janvier 2014 d’une façon possible (moins de 50%), probable (plus de 50%) ou certaine (100%) ? Si l’intervention envisagée est justifiée à la fois par des troubles accidentels et maladifs, préciser si l’indication pathologique ou traumatique est prépondérante.![endif]&gt;![if&gt; m.    Le cas échéant, quels sont les facteurs étrangers à l’accident du 5 janvier 2014 qui ont contribué, avec ledit accident, à la survenance de ces atteintes ?![endif]&gt;![if&gt; n.      L’accident du 5 janvier 2014 a-t-il déclenché un processus qui serait de toute façon survenu sans cet événement ?![endif]&gt;![if&gt; o.      À partir de quand les facteurs étrangers sont-ils devenus, ou deviennent-ils, au degré de la vraisemblance prépondérante, les seules causes influant sur l’état de santé du recourant (« statu quo sine » ou « statu quo ante » atteint) ?![endif]&gt;![if&gt; p.      S’agissant des atteintes présentant un lien de causalité probable (plus de 50%) ou certain (100%) avec l’accident du 5 janvier 2014, celles-ci ont-elles entraîné une incapacité de travail ? Si oui, depuis quand et à quel taux ? Comment ce taux a-t-il évolué ?![endif]&gt;![if&gt; q.      S’agissant des atteintes présentant un lien de causalité probable (plus de 50%) ou certain (100%) avec l’accident du 5 janvier 2014 et pour autant que le « statu quo sine » ou « statu quo ante » ne soit pas atteint, estimez-vous qu’il y a encore lieu d’attendre de la continuation du traitement médical une sensible amélioration de l’état de santé du recourant ? Si oui, à quelle date peut-on s’attendre à une stabilisation de son état de santé ? Si non, depuis quand l’état de santé du recourant est-il stabilisé ?![endif]&gt;![if&gt; 10.  Commenter et discuter les avis des médecins traitants et du médecin d’arrondissement de la SUVA.![endif]&gt;![if&gt; Si l’expert s’écarte des appréciations et conclusions du Dr F______, médecin d’arrondissement de la SUVA, sur la question du statu quo sine ou ante, veuillez en indiquer les raisons et motiver votre réponse. 11.  Le recourant doit-il changer d’activité professionnelle ?![endif]&gt;![if&gt; 12.  Formuler un pronostic global.![endif]&gt;![if&gt; 13.  Toute remarque utile et proposition de l’expert.![endif]&gt;![if&gt; 4.        Invite l’expert à déposer à sa meilleures convenance un rapport en trois exemplaires à la chambre de céans ;![endif]&gt;![if&gt; 5.        Réserve le sort des frais ;![endif]&gt;![if&gt; 6.        Réserve le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