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A/1152/2024 vom 15. Oktober 2025</w:t>
      </w:r>
    </w:p>
    <w:p>
      <w:r>
        <w:t>GE Cour de justice, 2025-10-15, FR</w:t>
      </w:r>
    </w:p>
    <w:p>
      <w:r>
        <w:rPr>
          <w:b/>
        </w:rPr>
        <w:t xml:space="preserve">Quelle: </w:t>
      </w:r>
      <w:r>
        <w:t>https://mcp.opencaselaw.ch/entscheid/ge_gerichte_A_1152_2024</w:t>
      </w:r>
    </w:p>
    <w:p>
      <w:r>
        <w:t>FR: GE_GERICHTE A/1152/2024 du 15 octobre 2025</w:t>
      </w:r>
    </w:p>
    <w:p>
      <w:r>
        <w:t>IT: GE_GERICHTE A/1152/2024 del 15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w:t>
      </w:r>
    </w:p>
    <w:p>
      <w:r>
        <w:rPr>
          <w:b/>
        </w:rPr>
        <w:t>E. 2.2</w:t>
      </w:r>
    </w:p>
    <w:p>
      <w:r>
        <w:t>En l’espèce, il se justifie de joindre les procédures, qui portent sur le droit à une rente d’invalidité de la recourante pour la même période, la décision du 14 février 2025 n’étant qu’un nouveau calcul du montant pour l’année 2023 et ne revenant pas sur le droit de la recourante à une rente tel qu’il avait été établi par la décision du 7 mars 2024.</w:t>
      </w:r>
    </w:p>
    <w:p>
      <w:r>
        <w:rPr>
          <w:b/>
        </w:rPr>
        <w:t>E. 3</w:t>
      </w:r>
    </w:p>
    <w:p>
      <w:r>
        <w:t>Le litige porte sur le droit de la recourante à une rente entière d’invalidité dès le 1 er janvier 2023 sans limitation dans le temps.</w:t>
      </w:r>
    </w:p>
    <w:p>
      <w:r>
        <w:rPr>
          <w:b/>
        </w:rPr>
        <w:t>E. 4.1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 Dans les cas de révision selon l'art. 17 LPGA, conformément aux principes généraux du droit intertemporel (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 En l’occurrence, est litigieuse la révision, au sens de l’art. 17 LPGA, d’une rente d’invalidité dont le droit est né postérieurement au 31 décembre 2021, de sorte que les dispositions légales applicables seront citées dans leur nouvelle teneur.</w:t>
      </w:r>
    </w:p>
    <w:p>
      <w:r>
        <w:rPr>
          <w:b/>
        </w:rPr>
        <w:t>E. 4.2</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1er juin 2016 consid. 4.3 ; cf . également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 a RAI (arrêt du Tribunal fédéral 8C_51/2024 du 2 juillet 2024 consid. 2.4 et les références).</w:t>
      </w:r>
    </w:p>
    <w:p>
      <w:r>
        <w:rPr>
          <w:b/>
        </w:rPr>
        <w:t>E. 4.3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 bis et 1 ter n’ont pas été épuisées (art. 28 al. 1 bis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4.4</w:t>
      </w:r>
    </w:p>
    <w:p>
      <w:r>
        <w:t>L'évaluation des syndromes sans pathogenèse ni étiologie claire et sans constat de déficit organique ne fait pas l'objet d'un consensus médical (arrêt du Tribunal fédéral 9C_619/2012 du 9 juillet 2013 consid. 4.1). Dans un arrêt du 3 juin 2015 (ATF 141 V 281 ),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Les principes jurisprudentiels développés en matière de troubles somatoformes douloureux sont également applicables à la fibromyalgie (ATF 132 V 65 consid. 4.1). La fibromyalgie est une affection rhumatismale reconnue par l'Organisation mondiale de la santé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au-dessus et en dessous de la taille, durant au moins trois mois, ainsi que des douleurs à la palpation d'au moins 11 points douloureux ("tender points") sur 18.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 est posé par exclusion (tender points douloureux en l'absence de toute autre maladie, en particulier inflammatoire) (ATF 132 V 65 ). La reconnaissance de l'existence d’une fibromyalgie suppose d'abord la présence d'un diagnostic émanant d’un rhumatologue s'appuyant lege artis sur les critères d'un système de classification reconnu (ATF 132 V 65 consid. 3.2).</w:t>
      </w:r>
    </w:p>
    <w:p>
      <w:r>
        <w:rPr>
          <w:b/>
        </w:rPr>
        <w:t>E. 4.5</w:t>
      </w:r>
    </w:p>
    <w:p>
      <w:r>
        <w:t>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 143 V 409 consid. 4.5 et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reconnaissance d’un trouble psychique doit reposer sur le diagnostic posé par un psychiatre (ATF 130 V 396 consid. 5.3).</w:t>
      </w:r>
    </w:p>
    <w:p>
      <w:r>
        <w:rPr>
          <w:b/>
        </w:rPr>
        <w:t>E. 4.6</w:t>
      </w:r>
    </w:p>
    <w:p>
      <w:r>
        <w:t>Le Tribunal fédéral a développé dans sa jurisprudence relative à l’établissement de la capacité de travail exigible des personnes souffrant d’une symptomatologie douloureuse sans substrat organique les indicateurs suivants, qui s’appliquent également pour déterminer la capacité de travail exigible des personnes souffrant de troubles psychiques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Une expertise psychiatrique est, en principe, nécessaire quand il s'agit de se prononcer sur l'incapacité de travail que les troubles somatoformes douloureux sont susceptibles d'entraîner (ATF 130 V 352 consid. 2.2.2 et 5.3.2).</w:t>
      </w:r>
    </w:p>
    <w:p>
      <w:r>
        <w:rPr>
          <w:b/>
        </w:rPr>
        <w:t>E. 4.7</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5.1</w:t>
      </w:r>
    </w:p>
    <w:p>
      <w:r>
        <w:t>En l’espèce, la recourante fait valoir que son état s’était dégradé et que sa capacité de travail n’était pas de 50% dans une activité adaptée dès le 5 octobre 2023, en raison de la fibromyalgie et de la dépression chronique dont elle souffrait en lien avec ses douleurs, et demande qu’une expertise soit ordonnée. L’intimé s’est fondé, pour rendre la décision querellée, sur le rapport établi le 5 octobre 2023 par les Drs O______ et P______, qui retenaient que la recourante n’était, pour l’instant, pas capable de reprendre son activité professionnelle, en raison des tendinopathies fissuraires à l’épaule droite et de son poignet, des douleurs lombaires et de la cruralgie droite, pour un délai indéterminé. Une activité adaptée était possible à 50%, à faire évaluer par la suite. La recourante invoque le diagnostic fibromyalgie, qui n’était pas retenu par les Drs O______ et P______, lesquels sont respectivement médecin praticien et orthopédiste et par conséquent pas compétents pour se prononcer sur ce diagnostic. Il ressort du rapport d’expertise du BEM du 8 avril 2022 que l’expert rhumatologue a examiné cette question et qu’il n’a pas retenu le diagnostic de fibromyalgie, précisant, s’agissant des critères de ce diagnostic, que l’indice d’étendue de la douleur était de 5/19 et l’échelle des symptômes de 5/12 et que, s’agissant des symptômes et signes de Waddell, les symptômes étaient de 2/5 et les signes de 2/5. Dans un rapport du 28 février 2023, le Dr N______, spécialiste en rhumatologie, a examiné la recourante et indiqué en conclusion qu’il avait l’impression que la part essentielle des douleurs de celle-ci n’était probablement pas organique, précisant qu’il pouvait se tromper. Ce rapport ne remet pas sérieusement en cause les conclusions de l’expert rhumatologue, dès lors que le Dr N______ n’a pas évoqué le diagnostic de fibromyalgie, ni fait de constats à ce sujet. L’expert rhumatologue G______ n’a pas non plus retenu ce diagnostic en 2017, ni la Dre E______, qui est également rhumatologue, dans ses rapports des 12 juin et 4 août 2017. Il sera encore relevé que l’expert psychiatre du BEM a retenu qu’il n’y avait pas d’éléments permettant de retenir un trouble somatoforme persistant, car les douleurs n’étaient pas mises en avant dans le tableau clinique. Il n’y avait pas de dramatisation par la recourante ni de refus de reconnaître les conclusions rassurantes des médecins, les douleurs pouvaient trouver une explication physiologique et la recourante ne cherchait pas une sollicitation accrue de son entourage. En conclusion, aucune pièce médicale au dossier ne permet de retenir que la recourante souffrirait d’une fibromyalgie, voire d’un trouble somatoforme persistant, de sorte que son premier grief doit être écarté.</w:t>
      </w:r>
    </w:p>
    <w:p>
      <w:r>
        <w:rPr>
          <w:b/>
        </w:rPr>
        <w:t>E. 5.2.1</w:t>
      </w:r>
    </w:p>
    <w:p>
      <w:r>
        <w:t>S’agissant de l’état dépressif allégué par la recourante, l’expert psychiatre du BEM a retenu, en mars 2022, le diagnostic incapacitant de trouble dépressif récurrent, épisode actuel moyen, avec syndrome somatique (F33.11), ce qui correspond au rapport de la psychiatre de la recourante, la Dre B______ du 6 février 2020, qui retenait ce diagnostic suite à une rechute dépressive depuis Noël 2020. L’expert psychiatre a relevé que la symptomatologie décrite par la psychiatre traitante le 9 novembre 2020 était proche de celle qu’il décrivait. Le 25 mars 2020, l’époux de l’assurée est décédé. Le 9 novembre 2020, la Dre B______ a indiqué que l’état psychique de la recourante s’était aggravé, car elle vivait une période difficile en raison du décès de son époux. Elle n’arrivait pas à travailler et ses enfants s’occupaient de tout à la maison. Elle retenait toujours un épisode dépressif moyen avec syndrome somatique. S’agissant de la capacité de travail de la recourante dans son activité habituelle, la Dre B______ a indiqué qu’elle était actuellement en arrêt maladie à 100%, lequel avait été ordonné par le Dr F______. Les limitations fonctionnelles étaient la fatigue, pas de concentration, pas d’énergie, un épuisement, une fluctuation dans l’humeur, une anesthésie psychique, un deuil difficile et le manque de son mari. La psychiatre a précisé que, du point de sa spécialité, il était difficile de se prononcer sur la capacité de travail dans une activé adaptée aux limitations fonctionnelles, la recourante disant vouloir obtenir une rente d’invalidité. L’expert psychiatre a constaté que le rapport de la Dre B______ du 9 novembre 2020 faisait état d’une symptomatologie proche de celle qu’il avait constatée. Selon lui, les limitations étaient des troubles légers de l’attention, de la fatigabilité et le travail exigible devait être peu sollicitant intellectuellement, répétitif et sans prise de décision immédiate ni traitement d’informations simultanées. Il a retenu que la capacité de travail de la recourante était de 70% par baisse de rendement de 30% dès décembre 2019. Dans la mesure où la psychiatre de la recourante ne s’est pas prononcée sur la capacité de travail de celle-ci dans une activité adaptée dans son rapport du 9 novembre 2020, ni par la suite d’ailleurs, elle n’a pas remis en cause les conclusions de l’expert psychiatre sur ce point.</w:t>
      </w:r>
    </w:p>
    <w:p>
      <w:r>
        <w:rPr>
          <w:b/>
        </w:rPr>
        <w:t>E. 5.2.2</w:t>
      </w:r>
    </w:p>
    <w:p>
      <w:r>
        <w:t>Il convient d’examiner encore si l’expert psychiatre a déterminé la capacité de travail de la recourante sur la base des indicateurs de gravité développés par le Tribunal fédéral s’agissant des atteintes psychiques. Il n’a pas examiné de manière systématique et explicite les indicateurs de gravité, mais il a suffisamment motivé son rapport pour que l’on puisse considérer qu’il les a pris en compte. S’agissant du degré de gravité minimal inhérent au diagnostic, il a relevé que la plupart des symptômes de la recourante étaient d’intensité moyenne. L’on ne peut retenir l’indicateur d’un échec définitif du traitement malgré une bonne collaboration de la recourante, dès lors que l’expert psychiatre n’a pas retenu un épisode dépressif chronique, au motif que la recourante avait déjà connu une nette amélioration clinique dès mai 2025, suite à un épisode dépressif incapacitant en 2014. De plus, il préconisait la poursuite de la psychothérapie et un éventuel changement de la thérapie médicamenteuse devant l’absence d’amélioration clinique, ce qui était susceptible d’apporter une amélioration clinique en l’espace de six mois. L’expert n’a pas retenu de comorbidités psychiques ni de troubles de la personnalité pouvant avoir un impact important sur les ressources de la recourante. La personnalité de celle-ci était, selon son appréciation, marquée par une volonté d’être indépendante, surtout financièrement, et le fait de demander l’aide de ses enfants était vécu comme un effondrement narcissique. Cela étant, l’expert ne trouvait pas de véritable dépendance même si la recourante avait besoin de l’aide des autres. Elle était capable de prendre des décisions même si cela était plus difficile en raison de la dépression. Elle habitait avec ses deux filles et pouvait faire un peu de ménage et parfois préparer à manger. Ses enfants lui faisaient les courses et une de ses filles pouvait l’aider pour les tâches ménagères. La recourante indiquait être soutenue et ne pas être critiquée par son entourage. Elle s’enfermait beaucoup et voyait moins ses amis. Elle voyait toutefois encore une amie de longue date de temps en temps. Avant, elle aimait aller au cinéma, marcher au bord du lac et se promener. Maintenant, elle avait moins d’activités, car elle n’avait pas d’envies. Son fils aîné avait eu de mauvaises fréquentations et des problèmes judiciaires, mais il allait bien actuellement. Elle n’avait pas eu d’autres difficultés relationnelles ou éducationnelles avec ses autres enfants. Il ressort de ce qui précède que la recourante dispose encore de certaines ressources et que son atteinte à la santé la limite de manière semblable dans son activité professionnelle ou dans l’exécution de ses travaux habituels et dans les autres activités. L’expert a précisé n’avoir retrouvé aucune incohérence clinique ni exagération des douleurs. Il avait trouvé des signes objectivables de fatigue et de fatigabilité durant l’entretien et quelques troubles d’attention, ce qui corroborait les dires de l’expertisée, qui avait une bonne confiance médicamenteuse. Il n’apparaît ainsi pas que celle-ci aurait eu un comportement incohérent pouvant indiquer que ses limitations fonctionnelles seraient dues à d’autres raisons que son atteinte à la santé assurée. En conclusion, les conclusions de l’expert psychiatre qui retient une capacité de travail de 70% par baisse du rendement de 30% sur le plan strictement psychiatrique apparaissent compatibles avec l’analyse des indicateurs de gravité. Le rapport établi par la Dre B______ le 9 novembre 2020, n’amène pas d’éléments qui remettraient sérieusement en cause l’analyse des indicateurs faite sur la base du rapport de l’expert psychiatre. Il en résulte qu’il est établi, au degré de la vraisemblance prépondérante, que la dépression de la recourante ne l’empêchait pas de travailler à 50% dès le 5 octobre 2023. C’est donc à juste titre que l’intimé a retenu, sur la base d’une capacité de travail résiduelle de 50%, que le taux d’invalidité de la recourante était de 19% dès le 1 er janvier 2024 – soit trois mois après l’amélioration de sa capacité de travail survenue le 5 octobre 2023, en application de l’art. 88a RAI – ce qui ne lui ouvrait plus de droit à une rente d’invalidité.</w:t>
      </w:r>
    </w:p>
    <w:p>
      <w:r>
        <w:rPr>
          <w:b/>
        </w:rPr>
        <w:t>E. 5.3</w:t>
      </w:r>
    </w:p>
    <w:p>
      <w:r>
        <w:t>S’agissant du statut de la recourante, la chambre de céans constate, à teneur de la note sur le statut de l’intimé du 4 janvier 2019, que la recourante n’a pas été interpellée à ce sujet, qui relève pourtant de sa volonté interne. L’intimé ne pouvait s’en tenir au taux de la dernière activité exercée par la recourante avant son atteinte à la santé. Il faut également relever que l’intimé a indiqué dans cette note que la recourante était sans formation professionnelle, ce qui est faux, dès lors qu’il ressort de son dossier qu’elle a obtenu sa maturité, puis qu’elle a fait un apprentissage de deux ans comme aide éducatrice infantile. Elle a ensuite travaillé cinq ans dans une crèche, puis cinq ans dans un service de l’État portugais. Elle a été très heureuse dans son travail, qu’elle a dû quitter lorsqu’elle est venue en Suisse en 2004 pour que son mari trouve du travail, ce qui démontre une personne motivée par le travail. Elle a renoncé à faire une équivalence de sa formation en Suisse et commencé à faire des ménages pour des raisons financières. Elle a déclaré avoir voulu travailler à temps partiel lorsque ses enfants étaient jeunes, mais qu’elle aurait augmenté son temps de travail à 100%, si elle avait été en bonne santé, lorsque le plus jeune de ses enfants aurait atteint 16 ou 17 ans, précisant que le fait qu’elle devait garder son petit-fils ne l’aurait pas empêchée de travailler, car le SPMI payait une personne pour s’occuper de lui lorsqu’il n’était pas à la crèche. En 2017, date de sa demande de prestations, ses enfants étaient âgés 23 ans, 20 ans et 17 ans, de sorte qu’en bonne santé, elle se serait sentie libre de travailler plus. Le fait que son époux touchait une rente d’invalidité puis son décès sont des circonstances qui laissent penser qu’en bonne santé, elle aurait effectivement privilégié un emploi à plein temps. Le fait que cela soit rare dans son domaine d’activité ne permet pas de l’exclure. Par ailleurs, pour déterminer la méthode d'évaluation du degré d'invalidité applicable au cas particulier, il faut non pas, malgré la teneur de l'art. 8 al. 3 LPGA, chercher à savoir dans quelle mesure l'exercice d'une activité lucrative aurait été exigible de la part de la personne assurée, mais se demander ce que l'assurée aurait fait si l'atteinte à la santé n'était pas survenue (ATF 133 V 504 consid. 3.3 ; 133 V 477 consid. 6.3). On ne peut opposer à la recourante qu'elle n'a pas exercé une activité lucrative à plein temps pendant plusieurs années avant la survenance de son atteinte à la santé, car elle avait alors trois jeunes enfants et que depuis son arrivée en Suisse elle s'est efforcée à s'insérer sur le marché du travail ( cf arrêt du Tribunal fédéral 9C_630/2021 du 22 mars 2022). Au vu de ces éléments, la chambre de céans retient un statut d’active pour la recourante. Cela est toutefois sans conséquence sur les taux d’invalidité établis par l’intimé, de sorte que la décision lui octroyant une rente d’invalidité de 61% d’une rente entière du 1 er janvier au 31 décembre 2023 doit être confirmée.</w:t>
      </w:r>
    </w:p>
    <w:p>
      <w:r>
        <w:rPr>
          <w:b/>
        </w:rPr>
        <w:t>E. 5.4</w:t>
      </w:r>
    </w:p>
    <w:p>
      <w:r>
        <w:t>Il résulte du statut d’active retenu que ses griefs sur les empêchements ménagers n’ont pas à être examinés, puisqu’il n’y pas lieu d’en tenir compte pour déterminer son taux d’invalidité dans ce cas.</w:t>
      </w:r>
    </w:p>
    <w:p>
      <w:r>
        <w:rPr>
          <w:b/>
        </w:rPr>
        <w:t>E. 6</w:t>
      </w:r>
    </w:p>
    <w:p>
      <w:r>
        <w:t>Infondé, le recours sera rejeté. Un émolument de CHF 200.- sera mis à la charge de la recourante (art. 69 al. 1 bis LAI).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