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A/1152/2022 vom 21. Dezember 2022</w:t>
      </w:r>
    </w:p>
    <w:p>
      <w:r>
        <w:t>GE Cour de justice, 2022-12-21, FR</w:t>
      </w:r>
    </w:p>
    <w:p>
      <w:r>
        <w:rPr>
          <w:b/>
        </w:rPr>
        <w:t xml:space="preserve">Quelle: </w:t>
      </w:r>
      <w:r>
        <w:t>https://mcp.opencaselaw.ch/entscheid/ge_gerichte_A_1152_2022</w:t>
      </w:r>
    </w:p>
    <w:p>
      <w:r>
        <w:t>FR: GE_GERICHTE A/1152/2022 du 21 décembre 2022</w:t>
      </w:r>
    </w:p>
    <w:p>
      <w:r>
        <w:t>IT: GE_GERICHTE A/1152/2022 del 21 dicembre 2022</w:t>
      </w:r>
    </w:p>
    <w:p>
      <w:pPr>
        <w:pStyle w:val="Heading2"/>
      </w:pPr>
      <w:r>
        <w:t>Erwägungen</w:t>
      </w:r>
    </w:p>
    <w:p>
      <w:r>
        <w:rPr>
          <w:b/>
        </w:rPr>
        <w:t>E. 4</w:t>
      </w:r>
    </w:p>
    <w:p>
      <w:r>
        <w:t>![endif]&gt;![if&gt;</w:t>
      </w:r>
    </w:p>
    <w:p>
      <w:r>
        <w:rPr>
          <w:b/>
        </w:rPr>
        <w:t>E. 4.1</w:t>
      </w:r>
    </w:p>
    <w:p>
      <w:r>
        <w:t>Sur le plan fédéral, les personnes qui ont leur domicile et leur résidence habituelle (art. 19 LPGA) en Suisse et qui remplissent les conditions personnelles prévues aux art. 4, 5, 6 et 8 aLPC ont droit à des prestations complémentaires. Ont ainsi droit aux prestations, notamment, les personnes qui perçoivent une rente d'invalidité, conformément à l'art. 4 al. 1 let. c aLPC, ou encore une rente de vieillesse de l'assurance-vieillesse et survivants, conformément à l'art. 4 al. 1 let. a aLPC.![endif]&gt;![if&gt; Les prestations complémentaires fédérales se composent de la prestation complémentaire annuelle et du remboursement des frais de maladie et d'invalidité (art. 3 al. 1 aLPC). L'art. 9 al. 1 aLPC dispose que le montant de la prestation complémentaire annuelle correspond à la part des dépenses reconnues qui excède les revenus déterminants. Selon l'art. 11 al. 1 aLPC, les revenus déterminants comprennent notamment le produit de la fortune mobilière et immobilière (let. b) ; un quinzième de la fortune nette, dans la mesure où elle dépasse CHF 60'000 francs pour les couples (let. c) ; et les ressources et parts de fortune dont un ayant droit s'est dessaisi (let. g).</w:t>
      </w:r>
    </w:p>
    <w:p>
      <w:r>
        <w:rPr>
          <w:b/>
        </w:rPr>
        <w:t>E. 4.2</w:t>
      </w:r>
    </w:p>
    <w:p>
      <w:r>
        <w:t>Sur le plan cantonal, ont droit aux prestations complémentaires les personnes qui remplissent les conditions de l'art. 2 LPCC et dont le revenu annuel déterminant n'atteint pas le revenu minimum cantonal d'aide sociale applicable (art. 4 LPCC).![endif]&gt;![if&gt;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et ce après déduction des franchises prévues par cette disposition (let. c).</w:t>
      </w:r>
    </w:p>
    <w:p>
      <w:r>
        <w:rPr>
          <w:b/>
        </w:rPr>
        <w:t>E. 4.3</w:t>
      </w:r>
    </w:p>
    <w:p>
      <w:r>
        <w:t>Par fortune au sens de l'art. 11 al. 1 aLPC,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Ainsi, font notamment partie de la fortune : les gains à la loterie, la valeur de rachat d'une assurance-vie, l'épargne, les actions, les obligations, les successions, les versements en capital d'assurances, l'argent liquide, etc. (MULLER, op.cit, n° 35), les créances (JÖHL, op. cit., n° 163 p. 1844) ou encore les prêts accordés (CARIGIET / KOCH, Ergänzungsleistungen zur AHV/IV, Supplément, p. 96).![endif]&gt;![if&gt; La fortune doit être évaluée selon les règles de la législation sur l'impôt cantonal direct du canton du domicile (art. 17 al. 1 OPC-AVS/AI). Le capital de prévoyance professionnelle représente également un élément de fortune. Pour déterminer le droit d'un assuré à des prestations complémentaires, cet élément de fortune doit ou non être pris en compte selon qu'il est ou n'est pas disponible. Il ne doit pas l'être tant et aussi longtemps qu'il n'est pas disponible (arrêts du Tribunal fédéral 9C_41/2011 du 16 août 2011 consid. 6.1 ; 8C_516/2008 du 8 décembre 2008 consid. 5.2). Il doit en revanche l'être s'il est exigible, quand bien même la personne assurée n'en demanderait pas le versement, car - en vertu du principe général prévalant en matière d'assurances sociales voulant qu'elle réduise le dommage - il lui revient de tout mettre en œuvre pour concrétiser les possibilités de gain dont elle dispose, en particulier de demander le versement d'un capital de prévoyance déposé sur un compte de libre passage (ATF 140 V 201 consid. 2.2 ; arrêts du Tribunal fédéral 9C_612/2012 du 28 novembre 2012 consid. 3.3 ; 9C_41/2011 du 16 août 2011 consid. 6.2 ; ATAS/1080/2018 du 19 novembre 2018 consid. 6a ; Michel VALTERIO, Commentaire de la loi fédérale sur les prestations complémentaires à l'AVS et à l'AI, 2015, n. 44 ad art. 11). Les directives de l'Office fédéral des assurances sociales concernant les prestations complémentaires à l'AVS et à l'AI (ci-après : DPC) indiquent à ce propos que les capitaux inhérents aux 2ème et 3ème piliers sont à prendre en compte dès le moment où l'assuré a la possibilité de les retirer (ch. 3443.03), et que la fortune qui est investie sur la base de l'OPP 3 (soit l'ordonnance sur les déductions admises fiscalement pour les cotisations versées à des formes reconnues de prévoyance du 13 novembre 1985 - RS 831.461.3) n'a pas à être prise en considération aussi longtemps qu'il n'est pas possible de verser la prestation de prévoyance.</w:t>
      </w:r>
    </w:p>
    <w:p>
      <w:r>
        <w:rPr>
          <w:b/>
        </w:rPr>
        <w:t>E. 4.4</w:t>
      </w:r>
    </w:p>
    <w:p>
      <w:r>
        <w:t>![endif]&gt;![if&gt;</w:t>
      </w:r>
    </w:p>
    <w:p>
      <w:r>
        <w:rPr>
          <w:b/>
        </w:rPr>
        <w:t>E. 4.4.1</w:t>
      </w:r>
    </w:p>
    <w:p>
      <w:r>
        <w:t>Aux termes de l'art. 2 al. 1 de la loi fédérale sur le libre passage dans la prévoyance professionnelle vieillesse, survivants et invalidité du 17 décembre 1993 (loi sur le libre passage [LFLP ; RS 831.42]), si l’assuré quitte l’institution de prévoyance avant la survenance d’un cas de prévoyance (cas de libre passage), il a droit à une prestation de sortie. Si l’assuré entre dans une nouvelle institution de prévoyance, l’ancienne institution de prévoyance doit verser la prestation de sortie à cette nouvelle institution (art. 3 al. 1 LFLP). Si l’assuré n’entre pas dans une autre institution de prévoyance, il doit notifier à son institution de prévoyance sous quelle forme admise il entend maintenir sa prévoyance (art. 4 al. 1 LFLP).![endif]&gt;![if&gt; Dans cette dernière hypothèse, la prévoyance peut être maintenue au moyen d’une police de libre passage ou d’un compte de libre passage (art. 10 al. 1 de l'ordonnance sur le libre passage dans la prévoyance professionnelle vieillesse, survivants et invalidité [OLP ; RS 831.425]). Par comptes de libre passage, on entend des contrats spéciaux qui sont affectés exclusivement et irrévocablement à la prévoyance et qui ont été conclus avec une fondation qui remplit les conditions fixées à l’art. 19 OLP. Ces contrats peuvent être complétés par une assurance décès ou invalidité (art. 10 al. 3 OLP). La forme et l'étendue des prestations en cas de vieillesse, de décès ou d’invalidité ressortent du contrat ou du règlement de l'institution de libre passage (art. 13 al. 1 OLP). Les prestations sont versées conformément au contrat ou au règlement sous la forme d’une rente ou d’un capital. Le paiement en espèces ainsi que le prêt anticipé sont également considérés comme des prestations (art. 13 al. 2 OLP). L'institution de libre passage doit toutefois respecter les modalités prévues aux art. 13 à 18 OLP (Hermann WALSER, in SCHNEIDER/GEISER/GÄCHTER [éd.], Commentaire LPP et LFLP, 2ème éd., 2020, ad art. 4 LFLP, p. 2096 et 2097).</w:t>
      </w:r>
    </w:p>
    <w:p>
      <w:r>
        <w:rPr>
          <w:b/>
        </w:rPr>
        <w:t>E. 4.4.2</w:t>
      </w:r>
    </w:p>
    <w:p>
      <w:r>
        <w:t>Le paiement en espèces de la prestation de sortie avant la retraite ne peut être exigé que dans les cas expressément prévus par la loi, soit lorsque la personne assurée affecte son capital au financement d'un logement en propriété (art. 30c LPP), lorsqu'elle quitte définitivement la Suisse (art. 5 al. 1 let. a LFLP), lorsqu'elle s'établit à son propre compte et qu'elle n'est plus soumise à la prévoyance professionnelle (art. 5 al. 1 let. b LFLP), lorsque le montant de la prestation de sortie est inférieur au montant annuel de ses cotisations (art. 5 al. 1 let. c LFLP) ou lorsqu'elle perçoit une rente entière d'invalidité versée par l'assurance-invalidité fédérale (art. 16 al. 2 OLP ; cf. arrêt du Tribunal fédéral 9C_41/2011 du 16 août 2011, consid. 6.1).![endif]&gt;![if&gt;</w:t>
      </w:r>
    </w:p>
    <w:p>
      <w:r>
        <w:rPr>
          <w:b/>
        </w:rPr>
        <w:t>E. 4.4.3</w:t>
      </w:r>
    </w:p>
    <w:p>
      <w:r>
        <w:t>Selon l'art. 16 OLP, les prestations de vieillesse dues en vertu des polices et des comptes de libre passage peuvent être versées au plus tôt cinq ans avant que l’assuré n’atteigne l’âge ordinaire de la retraite visé à l’art. 13 al. 1 LPP et au plus tard cinq ans après (al. 1). Si l’assuré perçoit une rente entière d’invalidité de l’assurance fédérale et si le risque d’invalidité n’est pas assuré à titre complémentaire au sens de l’art. 10 al. 2 et 3, deuxième phrase, la prestation de vieillesse lui est versée plus tôt, sur sa demande (al. 2).![endif]&gt;![if&gt;</w:t>
      </w:r>
    </w:p>
    <w:p>
      <w:r>
        <w:rPr>
          <w:b/>
        </w:rPr>
        <w:t>E. 4.4.4</w:t>
      </w:r>
    </w:p>
    <w:p>
      <w:r>
        <w:t>La prestation en capital, en tant que versement unique en vertu de l'art. 37 LPP, doit être distinguée du paiement en espèces d'une prestation de libre passage. Tandis que le paiement en espèces ne peut en principe avoir lieu que tant qu'aucun cas de prévoyance n'est survenu (cf. art. 1 al. 1 en relation avec l'art. 5 LFLP), le versement d'une prestation en capital est subordonné à la survenance d'un cas d'assurance (cf. ATF 133 V 288 du 9 mai 2007). Les institutions de prévoyance ne peuvent prévoir le versement d'une prestation en capital à la suite de la retraite qu'à partir de l'âge de 58 ans révolus, qui constitue l'âge minimal requis pour une retraite anticipée (art. 13 al. 2 et 1 al. 3 LPP en relation avec l'art. 1 i al. 1 OPP 2). À l'inverse, les prestations de vieillesse des polices et comptes de libre passage peuvent être payées au plus tôt 5 ans avant la survenance de l'âge ordinaire de la retraite selon l'art. 13 al. 1 LPP, soit dès l'âge de 60 ans révolus chez les hommes et 59 ans révolus chez les femmes (art. 16 LOP ; Thomas GEISER/Christoph SENTI, Commentaire LPP et LFLP, op. cit., ad art. 5 LFLP, p. 2103 et 2104).![endif]&gt;![if&gt;</w:t>
      </w:r>
    </w:p>
    <w:p>
      <w:r>
        <w:rPr>
          <w:b/>
        </w:rPr>
        <w:t>E. 4.4.5</w:t>
      </w:r>
    </w:p>
    <w:p>
      <w:r>
        <w:t>Le cas de prévoyance d'invalidité est réputé survenu lorsqu'un droit à une prestation d'invalidité prend naissance, et ce indépendamment du moment de l'incapacité de travail. Avant la survenance du cas de prévoyance, l'assuré perd son droit à une prestation de libre passage, raison pour laquelle le paiement en espèces d'une prestation de sortie n'est plus possible, exception faite des cas dans lesquels l'invalide est au bénéfice d'un compte ou d'une police de libre passage qui ne couvre que le risque de prévoyance vieillesse (GEISER/SENTI, Commentaire LPP et LFLP, op. cit, ad art. 5 LFLP, p. 2107 et 2108).![endif]&gt;![if&gt;</w:t>
      </w:r>
    </w:p>
    <w:p>
      <w:r>
        <w:rPr>
          <w:b/>
        </w:rPr>
        <w:t>E. 4.5</w:t>
      </w:r>
    </w:p>
    <w:p>
      <w:r>
        <w:t>Selon l'art. 25 al. 1 let. c et d OPC-AVS/AI,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francs par an (let. c) ; lors d'un contrôle périodique, si l'on constate un changement des dépenses reconnues, des revenus déterminants et de la fortune, on pourra renoncer à rectifier la prestation complémentaire annuelle, lorsque la modification est inférieure à 120 francs par an (let. d). ![endif]&gt;![if&gt; Aux termes de l'art. 25 al. 2 let. c et d OPC-AVS/AI, la nouvelle décision doit porter effet dès la date suivante :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Selon la pratique administrative, si en raison d'une diminution notable de l'excédent des dépenses, la prestation complémentaire annuelle doit être réduite ou supprimée en cours d'année, cette réduction ou suppression intervient dès le début du mois qui suit (Directives concernant les prestations complémentaires à l'AVS et à l'AI [DPC] publiées par l'OFAS dans leur teneur valable dès le 1er avril 2011, chiffre 3643.01). La jurisprudence a considéré que cette pratique était conforme à l'ordonnance (arrêt du Tribunal fédéral des assurances P 63/02 du 8 mai 2003 consid. 6.2.4). Il est question d'une modification de longue durée au sens de l'art. 25 al. 1 let. c OPC-AVS/AI, lorsqu'il est prévu qu'elle perdure jusqu'à la fin de l'année civile (Ulrich MEYER-BLASER, Die Anpassung von Ergänzungsleistungen wegen Sachverhaltsänderungen0 in Die Revision von Dauerleistungen in der Sozialversicherung, Saint-Gall 1999, p. 41 ss).</w:t>
      </w:r>
    </w:p>
    <w:p>
      <w:r>
        <w:rPr>
          <w:b/>
        </w:rPr>
        <w:t>E. 4.6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aussi ATF 140 I 285 consid. 6.3.1 et les références).![endif]&gt;![if&gt;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5</w:t>
      </w:r>
    </w:p>
    <w:p>
      <w:r>
        <w:t>![endif]&gt;![if&gt;</w:t>
      </w:r>
    </w:p>
    <w:p>
      <w:r>
        <w:rPr>
          <w:b/>
        </w:rPr>
        <w:t>E. 5.1</w:t>
      </w:r>
    </w:p>
    <w:p>
      <w:r>
        <w:t>En l'espèce, après avoir partiellement modifié ses conclusions, l'intimé estime que pour le calcul du droit aux PC du recourant, il convient de prendre en compte le capital de prévoyance professionnelle de son épouse dès le 1 er octobre 2019.![endif]&gt;![if&gt; Le recourant a relevé que la décision de l'OAI est datée du 17 septembre 2019 et qu'elle n'est entrée en force qu'une fois le délai de recours échu. Il explique avoir déjà payé un montant de CHF 1'008.- à l'intimé, correspondant au trop-perçu de prestation à la suite de l'augmentation de sa fortune après l'encaissement du capital de prévoyance professionnelle de son épouse.</w:t>
      </w:r>
    </w:p>
    <w:p>
      <w:r>
        <w:rPr>
          <w:b/>
        </w:rPr>
        <w:t>E. 5.2</w:t>
      </w:r>
    </w:p>
    <w:p>
      <w:r>
        <w:t>En l'occurrence, l'épouse du recourant était titulaire d'un compte de libre passage au sens de l'art. 10 al. 1 OLP, géré par une fondation (art. 10 al. 3 OLP). ![endif]&gt;![if&gt; L'art. 16 al. 1 OLP, qui prévoit que le capital de prévoyance professionnelle peut être versé à un assuré cinq ans avant l'âge ordinaire de la retraite, était, en principe, applicable. Toutefois, il ne s'agit pas d'un droit de l'assuré opposable à la fondation, car celle-ci peut prévoir, par règlement, un terme différent, dans les limites de l'art. 16 al. 1 OLP (cf. Hans-Ulrich STAUFFER, Berufliche Vorsorge, 2012, p. 469, n. 1269). Le texte légal est clair à ce sujet: « peuvent être versées ». Il s'ensuit que pour connaître l'étendue des prestations en cas de vieillesse, décès et invalidité, il convient de se référer au contrat de prévoyance ou au règlement de la fondation où sont affectés les fonds (art. 13 OLP). En l'occurrence, le règlement de la caisse de pension C______, dans ses versions en vigueur de 2017 à 2021, applicables au compte de libre passage de l'épouse du recourant, prévoit que si l'assuré cesse durablement son activité lucrative auprès de l'ancien employeur au cours des cinq années, au maximum, précédant l'âge de la retraite et qu'il n'existe aucun droit à des prestations d'invalidité de la caisse de pension C______ ou si aucune prestation d'invalidité de l'assurance-invalidité fédérale n'a été demandée, il peut demander des prestations de vieillesse anticipées. Dans la mesure où l'épouse du recourant avait déposé une demande de prestations AI, elle ne pouvait pas, conformément au règlement de la caisse de pension, demander le versement de son capital de prévoyance professionnelle tant que sa demande AI était pendante. Ce n'est donc que lorsque la décision de l'OAI du 17 septembre 2019, niant son droit aux prestations, est entrée en force, que l'épouse du recourant aurait pu, légitimement, demander à la caisse de pension le versement anticipé dudit capital, soit dès le 17 octobre 2019. En conséquence, ce capital de prévoyance professionnelle doit être retenu, comme un élément de fortune dans le calcul du droit aux PC du recourant, à partir du 1 er novembre 2019, soit le premier jour du mois suivant celui où ce capital aurait pu au plus tôt être versé et non pas le 1 er octobre 2019, comme l'a proposé l'intimé. Il convient donc d'annuler la décision litigieuse et de renvoyer la cause à l'intimé afin qu'il procède à un nouveau calcul du droit aux PC, en prenant en compte le capital de prévoyance professionnelle de l'épouse du recourant à compter du 1 er novembre 2019. Il devra également être tenu compte du montant de CHF 1'008.- d'ores et déjà payé par le recourant et correspondant aux PC versées en trop pour la période du 1 er août au 30 novembre 2021.</w:t>
      </w:r>
    </w:p>
    <w:p>
      <w:r>
        <w:rPr>
          <w:b/>
        </w:rPr>
        <w:t>E. 6</w:t>
      </w:r>
    </w:p>
    <w:p>
      <w:r>
        <w:t>Dans la mesure de ce qui précède, le recours est partiellement admis et la cause renvoyée à l'intimé pour nouvelle décision dans le sens des considérants.![endif]&gt;![if&gt; Le recourant obtenant partiellement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f 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