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A/1148/2024 vom 12. November 2024</w:t>
      </w:r>
    </w:p>
    <w:p>
      <w:r>
        <w:t>GE Cour de justice, 2024-11-12, FR</w:t>
      </w:r>
    </w:p>
    <w:p>
      <w:r>
        <w:rPr>
          <w:b/>
        </w:rPr>
        <w:t xml:space="preserve">Quelle: </w:t>
      </w:r>
      <w:r>
        <w:t>https://mcp.opencaselaw.ch/entscheid/ge_gerichte_A_1148_2024</w:t>
      </w:r>
    </w:p>
    <w:p>
      <w:r>
        <w:t>FR: GE_GERICHTE A/1148/2024 du 12 novembre 2024</w:t>
      </w:r>
    </w:p>
    <w:p>
      <w:r>
        <w:t>IT: GE_GERICHTE A/1148/2024 del 12 novembre 2024</w:t>
      </w:r>
    </w:p>
    <w:p>
      <w:pPr>
        <w:pStyle w:val="Heading2"/>
      </w:pPr>
      <w:r>
        <w:t>Erwägungen</w:t>
      </w:r>
    </w:p>
    <w:p>
      <w:r>
        <w:rPr>
          <w:b/>
        </w:rPr>
        <w:t>E. 2</w:t>
      </w:r>
    </w:p>
    <w:p>
      <w:r>
        <w:t>Dans le corps de ses écritures, le recourant semble solliciter son audition et celle de E______, en qualité de témoin.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rPr>
          <w:b/>
        </w:rPr>
        <w:t>E. 2.2</w:t>
      </w:r>
    </w:p>
    <w:p>
      <w:r>
        <w:t>En l’espèce, le recourant a eu l’occasion de développer son argumentation et de faire valoir toute pièce utile devant la PCTN et la chambre de céans. Il a notamment produit de nombreuses pièces médicales, qui suffisent pour établir son état de santé, et il sera vu plus loin que la prise en compte de celui-ci n’est pas déterminante pour l’issue du litige, de sorte que son audition n’apparaît pas nécessaire sur ce point. Il en va de même de son audition et de l’audition d’un témoin sur l’envolée du montant des loyers réclamés pour la location d’une AUADP, étant observé que personne ne conteste que le recourant a dû renoncer à son AUADP en mai 2021 pour des raisons de coûts et qu’il n’a pu en reprendre une pour les mêmes motifs que dès juillet 2022, et que par ailleurs cet élément ne modifie pas, ainsi qu’il sera vu, l’issue du litige. Il ne sera pas donné suite aux demandes d’actes d’instruction.</w:t>
      </w:r>
    </w:p>
    <w:p>
      <w:r>
        <w:rPr>
          <w:b/>
        </w:rPr>
        <w:t>E. 3</w:t>
      </w:r>
    </w:p>
    <w:p>
      <w:r>
        <w:t>Le litige porte sur le bien-fondé du refus de délivrer une AUADP, en application du régime transitoire prévu par l’art. 46 al. 13 de la loi sur les taxis et les voitures de transport avec chauffeur du 13 octobre 2016 (LTVTC - H 1 31).</w:t>
      </w:r>
    </w:p>
    <w:p>
      <w:r>
        <w:rPr>
          <w:b/>
        </w:rPr>
        <w:t>E. 3.1</w:t>
      </w:r>
    </w:p>
    <w:p>
      <w:r>
        <w:t>La LTVTC, actuellement en vigueur depuis le 1 er novembre 2022, résulte du projet de loi (ci-après : PL) n°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PL,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ATA/1051/2024 du 3 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(il s'agissait déjà du recourant) qui, sans être locataire à ce moment d'une AUADP, avait été absent de Suisse de janvier à mars 2022 n’était pas, durant cette période, l’utilisateur effectif des plaques louées au sens de l'art. 46 al. 13 LTVTC,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du Tribunal fédéral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4</w:t>
      </w:r>
    </w:p>
    <w:p>
      <w:r>
        <w:t>En l’espèce, la seconde requête formée par le recourant auprès de la PCTN en vue de l’obtention d’une AUADP – qui constitue le fait juridiquement déterminant – date du 31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w:t>
      </w:r>
    </w:p>
    <w:p>
      <w:r>
        <w:rPr>
          <w:b/>
        </w:rPr>
        <w:t>E. 4.1</w:t>
      </w:r>
    </w:p>
    <w:p>
      <w:r>
        <w:t>Le recourant ne conteste pas ne pas avoir été l’utilisateur effectif d’une AUADP le 28 janvier 2022. Il fait toutefois valoir qu’en raison de la crise sanitaire, qui a durement affecté le secteur du transport de personnes, d'un déplacement à l'étranger et des prix prohibitifs pratiqués à l'époque,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9 juillet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w:t>
      </w:r>
    </w:p>
    <w:p>
      <w:r>
        <w:rPr>
          <w:b/>
        </w:rPr>
        <w:t>E. 4.2</w:t>
      </w:r>
    </w:p>
    <w:p>
      <w:r>
        <w:t>Le recourant fait encore valoir son état de santé défaillant, qui constituerait un cas exceptionnel justifiant une dérogation. Il ne rend toutefois pas vraisemblable que son état de santé l’aurait empêché d’exploiter une AUADP au 28 janvier 2022. L’abondante documentation médicale qu’il a produite, si elle atteste en effet de troubles dans la fonction respiratoire, montre également que ceux-ci sont anciens, qu’ils sont suivis et traités, et elle n’indique nulle part que leur exacerbation à la fin de l’année 2021 et au début de l’année 2022 aurait entraîné une incapacité de travail. En outre, selon le recourant lui-même, ce qui l’avait empêché de louer une AUADP dès mai 2021 était le niveau exorbitant des loyers réclamés, qui ne serait revenu à la normale qu’après l’adoption de la loi. Ainsi, une éventuelle incapacité de travail pour cause de maladie survenue à la fin de l’année 2021 et au début de l’année 2022 aurait en toute hypothèse été sans effet sur la possibilité pour le recourant d’être l’exploitant effectif une AUADP au 28 janvier 2022 – étant rappelé qu’il a été vu plus haut que la loi ne prévoit pas d’exceptions. Il sera encore observé que le recourant n’a fourni aucune information sur son activité et ses revenus – y compris d’éventuelles prestations pour perte de gain en cas d’incapacité de travail due à la maladie – de mai 2021 à juillet 2022. Il suit de là que, faute d'avoir été titulaire d’une AUADP au moment déterminant du 28 janvier 2022, le recourant ne peut bénéficier du régime transitoire instauré par l’art. 46 al. 13 LTVTC ( ATA/814/2024 du 9 juillet 2024 consid. 2.6 ; ATA/619/2024 du 21 mai 2024 consid. 4).</w:t>
      </w:r>
    </w:p>
    <w:p>
      <w:r>
        <w:rPr>
          <w:b/>
        </w:rPr>
        <w:t>E. 5</w:t>
      </w:r>
    </w:p>
    <w:p>
      <w:r>
        <w:t>Invoquant l’art. 27 Cst., le recourant se plaint d’une violation du principe de proportionnalité en lien avec la liberté économique.</w:t>
      </w:r>
    </w:p>
    <w:p>
      <w:r>
        <w:rPr>
          <w:b/>
        </w:rPr>
        <w:t>E. 5.1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5.2</w:t>
      </w:r>
    </w:p>
    <w:p>
      <w:r>
        <w:t>L’activité de chauffeur de taxi indépendant ou salarié est protégée par l’art. 27 Cst., même si l’exercice de cette activité implique un usage accru du domaine public (ATF 143 II 598 consid. 5 ; arrêt du Tribunal fédéral 2C_79/2023 du 23 février 2024 consid. 4.1.1, destiné à la publication et les arrêts cités).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149 I 191 consid. 6 et 7.2 ; arrêt du Tribunal fédéral 2C_79/2023 précité consid. 4.1.1, destiné à la publication).</w:t>
      </w:r>
    </w:p>
    <w:p>
      <w:r>
        <w:rPr>
          <w:b/>
        </w:rPr>
        <w:t>E. 5.3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5.4</w:t>
      </w:r>
    </w:p>
    <w:p>
      <w:r>
        <w:t>Il découle de ce qui précède que, contrairement à ce que prétend le recourant, ni l’art. 46 al. 13 LTVTC ni le refus de la PCTN d’admettre une dérogation ne restreignent sa liberté économique. La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La décision attaquée apparaît ainsi conforme au droit. Entièrement mal fondé, le recours sera rejeté.</w:t>
      </w:r>
    </w:p>
    <w:p>
      <w:r>
        <w:rPr>
          <w:b/>
        </w:rPr>
        <w:t>E. 6</w:t>
      </w:r>
    </w:p>
    <w:p>
      <w:r>
        <w:t>Vu l’issue du litige, un émolument de CHF 500.-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