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A/1146/2005 vom 13. Dezember 2005</w:t>
      </w:r>
    </w:p>
    <w:p>
      <w:r>
        <w:t>GE Cour de justice, 2005-12-13, FR</w:t>
      </w:r>
    </w:p>
    <w:p>
      <w:r>
        <w:rPr>
          <w:b/>
        </w:rPr>
        <w:t xml:space="preserve">Quelle: </w:t>
      </w:r>
      <w:r>
        <w:t>https://mcp.opencaselaw.ch/entscheid/ge_gerichte_A_1146_2005</w:t>
      </w:r>
    </w:p>
    <w:p>
      <w:r>
        <w:t>FR: GE_GERICHTE A/1146/2005 du 13 décembre 2005</w:t>
      </w:r>
    </w:p>
    <w:p>
      <w:r>
        <w:t>IT: GE_GERICHTE A/1146/2005 del 13 dicembre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13.12.2005 A/1146/2005</w:t>
      </w:r>
    </w:p>
    <w:p>
      <w:r>
        <w:t>A/1146/2005 ATAS/1092/2005 du 13.12.2005 ( LCA ) , RETIRE RÉPUBLIQUE ET CANTON DE GENÈVE POUVOIR JUDICIAIRE A/1146/2005 ATAS/1092/2005 ARRET DU TRIBUNAL CANTONAL DES ASSURANCES SOCIALES Chambre 2 du 13 décembre 2005 En la cause Madame A__________, comparant avec élection de domicile en l'étude de Maître BELLON Marc recourante contre HERMES CAISSE MALADIE, 30, av. Général-Guisan, 3960 Sierre intimée Vu la demande de paiement du 18 avril 2005 et la réponse du 18 mai 2005; Vu la compétence du Tribunal de céans (56 V al. 1 let. c LOJ); Vu les pourparlers entamés par les parties, et l'ordonnance du suspension d'accord entre les parties rendue par le Tribunal de céans le 15 juin 2005; Vu le courrier de la demanderesse du 5 décembre 2005, par lequel elle informe le Tribunal de céans que les parties ont pu régler le différent et qu'elle retire son recours; Attendu qu'il convient d'en prendre note et de rayer la cause du rôle. *** PAR CES MOTIFS, LE TRIBUNAL CANTONAL DES ASSURANCES SOCIALES : Statuant (conformément à la disposition transitoire de l’art. 162 LOJ) Préalablement: Ordonne la reprise de la cause. Cela fait: Prend acte du retrait du recours. Raye la cause du rôle. Dit que la procédure est gratuite. Le greffier Pierre RIES La Présidente : Isabelle DUBOIS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