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A/1143/2004 vom 18. März 2004</w:t>
      </w:r>
    </w:p>
    <w:p>
      <w:r>
        <w:t>GE Cour de justice, 2004-03-18, FR</w:t>
      </w:r>
    </w:p>
    <w:p>
      <w:r>
        <w:rPr>
          <w:b/>
        </w:rPr>
        <w:t xml:space="preserve">Quelle: </w:t>
      </w:r>
      <w:r>
        <w:t>https://mcp.opencaselaw.ch/entscheid/ge_gerichte_A_1143_2004</w:t>
      </w:r>
    </w:p>
    <w:p>
      <w:r>
        <w:t>FR: GE_GERICHTE A/1143/2004 du 18 mars 2004</w:t>
      </w:r>
    </w:p>
    <w:p>
      <w:r>
        <w:t>IT: GE_GERICHTE A/1143/2004 del 18 marzo 2004</w:t>
      </w:r>
    </w:p>
    <w:p>
      <w:pPr>
        <w:pStyle w:val="Heading2"/>
      </w:pPr>
      <w:r>
        <w:t>Erwägungen</w:t>
      </w:r>
    </w:p>
    <w:p>
      <w:r>
        <w:rPr>
          <w:b/>
        </w:rPr>
        <w:t>E. 1</w:t>
      </w:r>
    </w:p>
    <w:p>
      <w:r>
        <w:t>L'art. 25a de la loi fédérale sur le libre-passage entrée en vigueur le 1er janvier 2000 (LFLP), règle la procédure en cas de divorce. En cas de désaccord des conjoints sur la prestation de sortie à partager en cas de divorce (art. 122 et 123 du Code civil), le juge du lieu du divorce compétent au sens de l'art. 73 al. de la loi fédérale sur la prévoyance professionnelle (LPP), soit à Genève le Tribunal cantonal des assurances sociales depuis le 1 er août 2003, doit, après que l'affaire lui a été transmise (art. 142 du code civil),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avoirs de la demanderesse acquis pendant le mariage, vu la demande des parties dans ce sens et l’absence de tout motif pour s’y opposer. Il y a donc lieu d’y donner suite. Il n’y a certes pas désaccord des conjoints mais ceux-ci n’ayant pas fourni les informations nécessaires au partage le premier juge n’a pu y procéder. Les dates pertinentes sont, d’une part, celle du mariage, le 25 avril 1997, d’autre part le 11 mai 2004, date à laquelle le jugement de divorce est devenu exécutoire. Selon le documents produit, la prestation acquise pendant le mariage par Madame M__________, jusqu’en 2001 où elle est devenue médecin indépendante est de fr. 81’008 fr. 90. Ainsi la demanderesse doit à son ex-époux le montant de 40’504 fr. 45 (81’008 fr. 90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