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A/1139/2016 vom 28. Juni 2016</w:t>
      </w:r>
    </w:p>
    <w:p>
      <w:r>
        <w:t>GE Cour de justice, 2016-06-28, FR</w:t>
      </w:r>
    </w:p>
    <w:p>
      <w:r>
        <w:rPr>
          <w:b/>
        </w:rPr>
        <w:t xml:space="preserve">Quelle: </w:t>
      </w:r>
      <w:r>
        <w:t>https://mcp.opencaselaw.ch/entscheid/ge_gerichte_A_1139_2016</w:t>
      </w:r>
    </w:p>
    <w:p>
      <w:r>
        <w:t>FR: GE_GERICHTE A/1139/2016 du 28 juin 2016</w:t>
      </w:r>
    </w:p>
    <w:p>
      <w:r>
        <w:t>IT: GE_GERICHTE A/1139/2016 del 28 giugno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28.06.2016 A/1139/2016</w:t>
      </w:r>
    </w:p>
    <w:p>
      <w:r>
        <w:t>A/1139/2016 ATAS/506/2016 du 28.06.2016 ( AVS ) , RETIRE rÉpublique et canton de genÈve POUVOIR JUDICIAIRE A/1139/2016 ATAS/506/2016 COUR DE JUSTICE Chambre des assurances sociales Arrêt du 28 juin 2016 2 ème Chambre En la cause A_______ SA, sis à GENÈVE, comparant avec élection de domicile en l'étude de Maître Thierry ULMANN recourant contre CAISSE INTERPROFESSIONNELLE AVS DE LA FEDERATION DES ENTREPRISES ROMANDES FER CIAM 106.1, sise rue de Saint-Jean 67, GENÈVE intimée Vu la décision sur opposition de la caisse interprofessionnelle AVS de la Fédération des Entreprises Romandes FER CIAM 106.1 (ci-après : l’intimée), du 3 mars 2016 ; Vu le recours de A_______ SA (ci-après : la recourante) du 14 avril 2016 à la chambre des assurances sociales de la Cour de justice ; Vu la réponse de l’intimée du 12 mai 2016 ; Vu le courrier de la recourante du 23 juin 2016, par lequel elle indique retirer son recours et demander à la chambre des assurances sociales de rayer la cause du rôle ; Qu'il convient d'en prendre acte et de rayer la cause du rôle. * * * * *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