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A/1134/2011 vom 4. August 2011</w:t>
      </w:r>
    </w:p>
    <w:p>
      <w:r>
        <w:t>GE Cour de justice, 2011-08-04, FR</w:t>
      </w:r>
    </w:p>
    <w:p>
      <w:r>
        <w:rPr>
          <w:b/>
        </w:rPr>
        <w:t xml:space="preserve">Quelle: </w:t>
      </w:r>
      <w:r>
        <w:t>https://mcp.opencaselaw.ch/entscheid/ge_gerichte_A_1134_2011</w:t>
      </w:r>
    </w:p>
    <w:p>
      <w:r>
        <w:t>FR: GE_GERICHTE A/1134/2011 du 4 août 2011</w:t>
      </w:r>
    </w:p>
    <w:p>
      <w:r>
        <w:t>IT: GE_GERICHTE A/1134/2011 del 4 agosto 2011</w:t>
      </w:r>
    </w:p>
    <w:p>
      <w:pPr>
        <w:pStyle w:val="Heading2"/>
      </w:pPr>
      <w:r>
        <w:t>Regeste</w:t>
      </w:r>
    </w:p>
    <w:p>
      <w:r>
        <w:t>Abus de droit. Créance contestée. | CC.2</w:t>
      </w:r>
    </w:p>
    <w:p>
      <w:pPr>
        <w:pStyle w:val="Heading2"/>
      </w:pPr>
      <w:r>
        <w:t>Erwägungen</w:t>
      </w:r>
    </w:p>
    <w:p>
      <w:r>
        <w:rPr>
          <w:b/>
        </w:rPr>
        <w:t>E. 2</w:t>
      </w:r>
    </w:p>
    <w:p>
      <w:r>
        <w:t>2.1. Sous réserve d'un abus de droit manifeste, il n'appartient ni aux offices des poursuites ni aux autorités de surveillance de décider si une prétention est exigée à bon droit ou non (ATF non publié 7B.219/2006 et 7B.220/2006 du 16 avril 2007 consid. 3.3 ; ATF 115 III 21 , SJ 1989 p. 400 consid. 3b ; ATF 113 III 2 , JdT 1989 II 120/121 consid. 2b ; ATF 112 III 48 , JdT 1988 II 145 ss ;).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w:t>
      </w:r>
    </w:p>
    <w:p>
      <w:r>
        <w:rPr>
          <w:b/>
        </w:rPr>
        <w:t>E. 2.2</w:t>
      </w:r>
    </w:p>
    <w:p>
      <w:r>
        <w:t>Le principe de l'interdiction de l'abus de droit, exprimé à l’art. 2 CC et valable dans l’ensemble de l’ordre juridique, est recevable dans l'autorité de surveillance en tant qu'il est dirigé contre l’utilisation même des moyens qu’offre le droit de l’exécution forcée (Flavio C ometta , in SchKG I, ad art. 17 n° 27 ; Pierre-Robert Gilliéron , Commentaire, ad art. 17 n° 88 ; Franco Lorandi , Betreibungsrechtliche Beschwerde und Nichtigkeit, Kommentar zu den Artikeln 13 – 30 SchKG, 2000, ad art. 17 n° 274). C'est ainsi que la nullité d'une poursuite pour abus de droit peut être admise dans des cas exceptionnels, en particulier lorsqu'il est manifeste que le créancier agit dans un but sans le moindre rapport avec la procédure de poursuite, en particulier pour délibérément tourmenter le poursuivi ou dans la seule intention de ruiner sa bonne réputation (cf. les arrêts cités au consid. 2.a.).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C'est, en effet, une particularité du droit suisse que de permettre l'introduction d'une poursuite sans devoir prouver l'existence de la créance ; le titre de la créance n'est pas la créance elle-même ni le titre qui l'incorpore éventuellement, mais seulement le commandement de payer passé en force (ATF non publié 5A_250/2007 du 19 septembre 2007 consid. 3.1 in fine et les références).</w:t>
      </w:r>
    </w:p>
    <w:p>
      <w:r>
        <w:rPr>
          <w:b/>
        </w:rPr>
        <w:t>E. 3</w:t>
      </w:r>
    </w:p>
    <w:p>
      <w:r>
        <w:t>En l'occurrence, de telles circonstances exceptionnelles ne sont pas établies. Les prétentions de la poursuivante, basées sur un contrat de travail, font encore l'objet d'un litige pendant devant la juridiction des prud'hommes.</w:t>
      </w:r>
    </w:p>
    <w:p>
      <w:r>
        <w:rPr>
          <w:b/>
        </w:rPr>
        <w:t>E. 4</w:t>
      </w:r>
    </w:p>
    <w:p>
      <w:r>
        <w:t>Il résulte de ce qui précède que la plainte doit être rejetée dans la mesure de sa recevabilité. * * * * * PAR CES MOTIFS, L'Autorité de surveillance : Rejette, dans la mesure de sa recevabilité, la plainte formée le 15 avril 2011 par M. S_______ sollicitant l'annulation du commandement de payer, poursuite n° 11 xxxx92 B, notifié le 11 avril 2011, pour abus de droit manifeste. Siégeant : Monsieur Daniel Devaud, président; Madame Valérie CARERA et Monsieur Mathieu HOWALD, juges assesseur(e)s, Madame Paulette DORMAN, greffière. Le président : Daniel Devaud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