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A/112/2016 vom 21. März 2017</w:t>
      </w:r>
    </w:p>
    <w:p>
      <w:r>
        <w:t>GE Cour de justice, 2017-03-21, FR</w:t>
      </w:r>
    </w:p>
    <w:p>
      <w:r>
        <w:rPr>
          <w:b/>
        </w:rPr>
        <w:t xml:space="preserve">Quelle: </w:t>
      </w:r>
      <w:r>
        <w:t>https://mcp.opencaselaw.ch/entscheid/ge_gerichte_A_112_2016</w:t>
      </w:r>
    </w:p>
    <w:p>
      <w:r>
        <w:t>FR: GE_GERICHTE A/112/2016 du 21 mars 2017</w:t>
      </w:r>
    </w:p>
    <w:p>
      <w:r>
        <w:t>IT: GE_GERICHTE A/112/2016 del 21 marzo 2017</w:t>
      </w:r>
    </w:p>
    <w:p>
      <w:pPr>
        <w:pStyle w:val="Heading2"/>
      </w:pPr>
      <w:r>
        <w:t>Regeste</w:t>
      </w:r>
    </w:p>
    <w:p>
      <w:r>
        <w:t>NOTIFICATION IRRÉGULIÈRE ; DESTINATAIRE(SENS GÉNÉRAL) ; AMENDE ; AUTEUR(DROIT PÉNAL) ; FAUTE ; RECTIFICATION(EN GÉNÉRAL) ; PARTIE À LA PROCÉDURE | Confirmation de l'annulation de l'amende administrative prononcée à l'encontre de l'avocat de l'auteur de l'infraction reprochée. La décision ne contient pas une simple désignation inexacte d'une partie pouvant faire l'objet d'une rectification. | LCI.137 ; LPG.1.leta ; CP.47.al1 ; LPA.46.al1 ; LPA.47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Mal fondé, le recours sera rejeté. ![endif]&gt;![if&gt;</w:t>
      </w:r>
    </w:p>
    <w:p>
      <w:r>
        <w:rPr>
          <w:b/>
        </w:rPr>
        <w:t>E. 11</w:t>
      </w:r>
    </w:p>
    <w:p>
      <w:r>
        <w:t>Aucun émolument de procédure ne sera prélevé (art. 87 al. 1 LPA ; art. 12 al. 2 du règlement sur les frais, émoluments et indemnités en procédure administrative du 30 juillet 1986 - RFPA - E 5 10.03). Une indemnité de procédure de CHF 1’000.- sera allouée, à la charge de l’État de Genève, conjointement et solidairement, à MM. A______ et B______, qui ont procédé avec l’aide d’un avocat et qui y ont conclu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