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A/1129/2017 vom 22. August 2017</w:t>
      </w:r>
    </w:p>
    <w:p>
      <w:r>
        <w:t>GE Cour de justice, 2017-08-22, FR</w:t>
      </w:r>
    </w:p>
    <w:p>
      <w:r>
        <w:rPr>
          <w:b/>
        </w:rPr>
        <w:t xml:space="preserve">Quelle: </w:t>
      </w:r>
      <w:r>
        <w:t>https://mcp.opencaselaw.ch/entscheid/ge_gerichte_A_1129_2017</w:t>
      </w:r>
    </w:p>
    <w:p>
      <w:r>
        <w:t>FR: GE_GERICHTE A/1129/2017 du 22 août 2017</w:t>
      </w:r>
    </w:p>
    <w:p>
      <w:r>
        <w:t>IT: GE_GERICHTE A/1129/2017 del 22 agosto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b. Lorsqu’un mineur est placé : a)      dans une institution d'éducation spécialisée au sens de la loi sur la coordination, le contrôle et l'octroi de subventions aux institutions genevoises d'éducation spécialisée pour mineurs et jeunes adultes du 16  juin 1994 (J 6 35 – LCSIES) ;![endif]&gt;![if&gt; b)      dans une institution prévue par la loi fédérale régissant la condition pénale des mineurs du 20 juin 2003 (DPMin – RS311.1) ;![endif]&gt;![if&gt; c)      dans un établissement fermé au sens du concordat sur l'exécution de la détention pénale des personnes mineures des cantons romands (et partiellement du Tessin), du 24 mars 2005 (CEDPM – E 4 58) ;![endif]&gt;![if&gt; d)     auprès de parents nourriciers au sens de l'ordonnance fédérale sur le placement d'enfants du 19 octobre 1977 (OPE – RS 211.222.338) lorsque ces derniers sont rémunérés par l’office de l’enfance et de la jeunesse ;![endif]&gt;![if&gt; e)      dans une structure d'enseignement spécialisé ou thérapeutique à caractère résidentiel au sens de l’art. 33 al. 1, let. c de la loi sur l'instruction publique du 17 septembre 2015 (LIP – C 1 10) ;![endif]&gt;![if&gt; f)       dans une structure d'enseignement spécialisé de jour (excepté les classes spécialisées et classes intégrées au sein des établissements scolaires ordinaires) au sens de l’art. 33 al. 1 let. c LIP ;![endif]&gt;![if&gt;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 c. Aux termes de l’art. 1 de la loi sur le revenu déterminant unifié du 19  mai  2005 (LRDU - J 4 06), entrée en vigueur le 6 septembre 2014, ladite loi a pour but de définir les éléments dans le calcul du RDU au plan cantonal. Les prestations octroyées par le SPMi sont calculées sur la base du RDU additionné des prestations catégorielles (art. 1 let. d du règlement d’exécution de la LRDU du 27 août 2014 - RRDU - J 4 06.01 ; art. 1 et art. 13A al. 1 LRDU). Sont considérées comme des prestations catégorielles, notamment les subsides de l’assurance-maladie et les allocations de logement (art. 13 al. 1 let. a LRDU). d. Le montant de la contribution financière des parents aux frais de pension est calculé, lors d'un placement résidentiel, sur une base journalière forfaitaire (art. 2 al. 1 RCFEMP) à laquelle peuvent se rajouter les frais d’entretien personnel du mineur (art. 2 al. 2 RCFEMP). e. Aux termes de l’art. 2 al. 4 RCFEMP, d’autres frais nécessaires aux activités ordinaires peuvent être mis à la charge des père et mère (camps par exemple) à concurrence des frais effectifs. f.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 Les déductions à prendre en compte sont exhaustivement énumérées à l’art. 5 LRDU. Il s’agit, en résumé, des versements de prévoyance, des cotisations à l’AVS, à l'assurance-accidents non professionnels, à des institutions de prévoyance professionnelle liée, des frais professionnels, des frais de formation et de perfectionnement, des frais justifiés par l'usage commercial et professionnel pour les personnes exerçant une activité lucrative indépendante, des frais de garde des enfants, des pensions alimentaires et des contributions d'entretien, des frais liés à un handicap et des frais médicaux et dentaires à charge. g. Un rabais fondé sur le RDU est accordé aux père et mère selon le barème prévu à l’art. 5 al. 1 RCFEMP, compte tenu de la capacité contributive du ou des parents. Ce rabais vient en déduction du prix de pension de base de l’art. 2 al. 1 RCFEMP. Les limites de revenu sont exprimées en francs, calculées en application de la LRDU (art. 5 al. 2 RCFEMP). La possibilité d'un rabais n'est pas prévue par le législateur quant aux frais d'entretien personnel mensuels de l'enfant mineur ( ATA/878/2014 du 11 novembre 2014).</w:t>
      </w:r>
    </w:p>
    <w:p>
      <w:r>
        <w:rPr>
          <w:b/>
        </w:rPr>
        <w:t>E. 3</w:t>
      </w:r>
    </w:p>
    <w:p>
      <w:r>
        <w:t>En l’espèce, la fille du recourant a été placée chez sa grand-mère, soit un proche parent, par décision de justice. En vertu du barème relatif aux frais d'entretien du mineur placé hors du foyer familial, le recourant n’a pas droit à un rabais, son RDU étant supérieur CHF 95'001.-. À cet égard, les montants que le recourant indique être prélevés directement sur son salaire brut ne sont pas pris en compte car il ne s’agit pas de déductions admises dans le cadre du calcul du RDU. La décision du SPMi est dès lors conforme au droit, celui-ci ne prévoyant en l'occurrence pas de limite inférieure telle que le minimum vital et les frais en cause pouvant donc être mis à charge même en cas d'exonération à 100 % des frais de pension ( ATA/1254/2015 du 24 novembre 2015).</w:t>
      </w:r>
    </w:p>
    <w:p>
      <w:r>
        <w:rPr>
          <w:b/>
        </w:rPr>
        <w:t>E. 4</w:t>
      </w:r>
    </w:p>
    <w:p>
      <w:r>
        <w:t>Au vu de ce qui précède, le recours sera rejeté.</w:t>
      </w:r>
    </w:p>
    <w:p>
      <w:r>
        <w:rPr>
          <w:b/>
        </w:rPr>
        <w:t>E. 5</w:t>
      </w:r>
    </w:p>
    <w:p>
      <w:r>
        <w:t>La procédure n'est pas soumise à émolument (art. 87 al. 1 et 3 LPA ; art. 11 du règlement sur les frais, émoluments et indemnités en procédure administrative du 30 juillet 1986 - RFPA - E 5 10.03). Vu l’issue du recours,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