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A/1126/2019 vom 15. September 2020</w:t>
      </w:r>
    </w:p>
    <w:p>
      <w:r>
        <w:t>GE Cour de justice, 2020-09-15, FR</w:t>
      </w:r>
    </w:p>
    <w:p>
      <w:r>
        <w:rPr>
          <w:b/>
        </w:rPr>
        <w:t xml:space="preserve">Quelle: </w:t>
      </w:r>
      <w:r>
        <w:t>https://mcp.opencaselaw.ch/entscheid/ge_gerichte_A_1126_2019</w:t>
      </w:r>
    </w:p>
    <w:p>
      <w:r>
        <w:t>FR: GE_GERICHTE A/1126/2019 du 15 septembre 2020</w:t>
      </w:r>
    </w:p>
    <w:p>
      <w:r>
        <w:t>IT: GE_GERICHTE A/1126/2019 del 15 settembre 2020</w:t>
      </w:r>
    </w:p>
    <w:p>
      <w:pPr>
        <w:pStyle w:val="Heading2"/>
      </w:pPr>
      <w:r>
        <w:t>Erwägungen</w:t>
      </w:r>
    </w:p>
    <w:p>
      <w:r>
        <w:rPr>
          <w:b/>
        </w:rPr>
        <w:t>E. 47</w:t>
      </w:r>
    </w:p>
    <w:p>
      <w:r>
        <w:t>REGAP. Il sera par ailleurs tenu compte de l'âge du recourant, soit 55 ans au moment de son licenciement, de ses trente-six ans d'activité pour la ville, des modalités brutales de l'annonce de la suppression de poste confirmée par le soutien reçu par les collègues et les témoins, du contenu dévalorisant tenu à son égard dans les rapports d'audit à l'origine de la suppression de poste sans que l'intéressé n'en ait eu connaissance et ne puisse savoir si ledit contenu a influencé la prise de la décision querellée, de son état de santé précarisé par son licenciement, des difficultés qu'il aura à retrouver un nouvel emploi vu son âge, du refus de réintégration de l'employeur malgré la disponibilité du recourant et de l'absence de reproches à l'encontre de la qualité de son travail et « de sa personne ». La ville soutient qu'en cas d'octroi d'une indemnité au recourant, il convient de tenir compte du fait que « le recourant disposait d'une formation et expérience importantes et disposait encore de dix ans avant l'âge légal de la retraite, ce qui pouvait lui permettre de retrouver un emploi ». Ces éléments ne seront pas retenus en diminution du montant de l'indemnité, l'autorité intimée ayant eu une attitude différente lorsqu'il s'est agi de lui proposer un poste d'une part. D'autre part, il est notoire que l'âge d'un demandeur d'emploi, notamment lorsque celui-ci est de 55 ans, est un critère rendant plus difficile la recherche d'emploi. Au regard de l'ensemble de ces circonstances, l'indemnité sera arrêtée à dix-huit mois du dernier traitement mensuel brut au sens de l'art. 105 al. 3 let. b SPVG, comprenant le 13 e salaire au prorata du nombre de mois fixés, étant précisé que ce montant lui est alloué en sus de l'indemnité pour suppression de poste, à laquelle il a droit (art. 35 al. 3 SPVG ; arrêts du Tribunal fédéral 8C_423/2014 et 8C_417/2014 précités consid. 5.2). 9) a. Le recourant a conclu à ce que la ville soit condamnée à lui verser « la somme correspondant aux vacances non prises et aux éventuelles heures supplémentaires ». Dans son recours, il indique, en cinq lignes, contester la position de la ville selon laquelle un éventuel solde de vacances et d'heures supplémentaires serait inclus dans la libération de son obligation de travailler. Or, il avait été en arrêt de travail depuis le 23 janvier 2017. Dans sa réponse, la ville a maintenu sa position, le recourant ayant recouvré sa capacité de travailler le 15 avril 2019 et les rapports de travail n'ayant pris fin que le 31 août 2019. b. La chambre administrative est l'autorité supérieure ordinaire de recours en matière administrative (art. 132 LOJ, correspondant à l'art. 56A al. 1 de l'ancienne loi sur l'organisation judiciaire du 22 novembre 1941 - aLOJ, en vigueur jusqu'au 31 décembre 2010). Le recours y est ouvert contre les décisions des autorités et juridictions administratives au sens des art. 4, 4A, 5, 6 al. 1 let. a et e et 57. Sont réservées les exceptions prévues par la loi (art. 132 al. 2 LOJ, correspondant à l'art. 56A al. 2 aLOJ). Elle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ATA/152/2020 du 11 février 2020 consid. 1b et les références citées). Pour que l'action soit recevable, il faut ainsi que les conclusions prises par le demandeur ne puissent faire l'objet d'une décision ( ATA/152/2020 précité consid. 1b et les références citées). c. En l'espèce, le dossier n'est pas en état d'être jugé sur ce point. Aucune des parties ne fait mention de l'éventuel solde de droit aux vacances du recourant ni même du nombre d'heures supplémentaires concernées. Le recourant ne donne aucune indication sur les vacances qu'il a prises, le solde de jours qu'il estime dû, le nombre d'heures supplémentaires qu'il aurait décomptées, les années concernées, alors même qu'il lui appartient de collaborer à l'établissement des faits (art. 22 LPA). Il sera en conséquence renvoyé à mieux agir, auprès de la ville, s'il s'y estime fondé, ce d'autant plus qu'en l'état la ville n'a pas prononcé de décision sur ces points. Cette conclusion est irrecevable. Il s'ensuit que le recours sera partiellement admis. 10) Vu l'issue du litige, aucun émolument ne sera perçu (art. 87 al. 1 LPA), et une indemnité de procédure de CHF 2'000.- sera allouée au recourant, à la charge de l'intimée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