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A/1118/2019 vom 25. Juni 2019</w:t>
      </w:r>
    </w:p>
    <w:p>
      <w:r>
        <w:t>GE Cour de justice, 2019-06-25, FR</w:t>
      </w:r>
    </w:p>
    <w:p>
      <w:r>
        <w:rPr>
          <w:b/>
        </w:rPr>
        <w:t xml:space="preserve">Quelle: </w:t>
      </w:r>
      <w:r>
        <w:t>https://mcp.opencaselaw.ch/entscheid/ge_gerichte_A_1118_2019</w:t>
      </w:r>
    </w:p>
    <w:p>
      <w:r>
        <w:t>FR: GE_GERICHTE A/1118/2019 du 25 juin 2019</w:t>
      </w:r>
    </w:p>
    <w:p>
      <w:r>
        <w:t>IT: GE_GERICHTE A/1118/2019 del 25 giugno 2019</w:t>
      </w:r>
    </w:p>
    <w:p>
      <w:pPr>
        <w:pStyle w:val="Heading2"/>
      </w:pPr>
      <w:r>
        <w:t>Erwägungen</w:t>
      </w:r>
    </w:p>
    <w:p>
      <w:r>
        <w:rPr>
          <w:b/>
        </w:rPr>
        <w:t>E. 1</w:t>
      </w:r>
    </w:p>
    <w:p>
      <w:r>
        <w:t>ère section dans la cause A______ et B______ C______ , enfants mineurs, agissant par leurs parents Mme et M. C______ contre DÉPARTEMENT DE L'INSTRUCTION PUBLIQUE, DE LA FORMATION ET DE LA JEUNESSE EN FAIT 1) Mme et M. C______, mariés (ci-après : le couple ou les parents), sont domiciliés à D______, en France, depuis 2010. L'épouse est mère au foyer et l'époux est chauffeur professionnel de limousine à Genève. Ils sont les parents de A______, né le ______ 2009, et B______, né le ______ 2012. Le père et les deux enfants sont de nationalité suisse. 2) Le 18 janvier 2019, le couple a rempli des demandes d'admission pour leurs deux enfants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reçues le 23 janvier 2019 par ce dernier. Il en ressort que A______ et B______ sont scolarisées au sein de l'école E______ (après l'avoir été dans l'école E______) dans leur commune, le premier étant actuellement en CM1, le second en CP. 3) Par décisions séparées du 13 février 2019, le département, soit pour lui la DGEO, a rejeté les demandes d'admission dans l'enseignement primaire public genevois des deux garçons. Ceux-ci ne remplissaient pas les conditions d'admission de l'art. 23 al. 1 let. b du règlement de l'enseignement primaire du 7 juillet 1993 (REP - 1 10.21), à savoir qu'ils n'avaient pas de fratrie déjà scolarisée au sein de l'enseignement public obligatoire genevois, condition nécessaire pour pouvoir les admettre à Genève. 4) Par actes postés le 18 mars 2019, les parents, pour A______ et B______, ont recouru contre ces deux décisions auprès de la chambre administrative de la Cour de justice (ci-après : la chambre administrative). Très attachés à la Suisse et au canton de Genève, dans lequel ils effectuaient la plupart de leurs activités familiales, ils souhaitaient que leurs enfants bénéficient notamment de l'enseignement de l'allemand dès l'école primaire. Le bien-être de leurs fils étant leur priorité, il était important que ceux-ci subissent le moins de changements et de perturbations possible lors de leur déménagement prochain à Genève. Ainsi, une admission dans l'enseignement primaire public genevois permettrait de les préparer au mieux à cette perspective et de leur garantir une certaine stabilité. L'art. 23a REP s'appliquait au moins par analogie en leur faveur. Un refus violerait le principe de non-discrimination découlant de l'Accord du 21 juin 1999 entre la Confédération suisse d'une part, et la Communauté européenne et ses Etats membres, d'autre part, sur la libre circulation des personnes (ALCP - RS 0.142.112.681), leur liberté d'établissement, l'égalité de traitement ainsi que le principe de la légalité. 5) Le 10 avril 2019, le département a conclu, principalement, au rejet du recours concernant Elsa et Inès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l'enfant du couple. Le règlement applicable ne prévoyait aucune dérogation, s'agissant de la procédure d'admission, pour des situations particulières d'élèves domiciliés hors canton. La scolarité des enfants n'était pas péjorée dans son pays de domicile, la France disposant d'infrastructures et d'un système scolaire de qualité à même de leur garantir un parcours scolaire conforme à leurs intérêts. Le souhait des parents de les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Les parents n'ont pas répliqué. 7) Le 16 mai 2019, le juge délégué a informé les parents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au 3 juin 2019 était fixé aux parents pour faire valoir leurs éventuelles observations à ce sujet après quoi la cause serait gardée à juger. Ils n'ont pas fait usage de cette possibilité. Les trois avis de droit versés à la procédure par le DIP peuvent être consultés à l'adresse : https://www.ge.ch/document/point-presse-du-conseil-etat-du-15-mai-2019. 8) Les intéressés ne se sont pas manifestés dans le délai imparti. 9) Sur ce, la cause a été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 les enfants du couple dans l'enseignement primaire public genevois.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les enfants du couple ont atteint un âge qui, s'ils remplissaient toutes les conditions leur permettant d'y prétendre, les destinerait à être scolarisés dans l'enseignement primaire public genevois. b.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les enfants du couple ne sont pas domiciliés en Suisse. Ils ne peuvent en conséquence pas se prévaloir du droit à y recevoir un enseignement de base suffisant et gratuit. Leur nationalité n'est ici pas en cause, seul le fait qu'ils ne soient pas domiciliés à Genève étant pertinent pour leur dénier ce droit. Cette conclusion ne contrevient d'ailleurs pas à l'art. 13 §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§1 let. a de la Convention relative aux droits de l'enfant entrée en vigueur pour la Suisse le 26 mars 1997 (RS 0.107), disposition qui prévoit que les États parties rendent l'enseignement obligatoire et gratuit pour tous. 7) Se pose la question de savoir si l'art. 23 REP repose sur une base légale suffisante.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Parallèlement, l'art. 23a REP s'est vu ajouter la précision qu'il ne porte que sur les années scolaires 2017-2018 et 2018-2019.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 GE ou encore de l'art. 37 al. 1 LIP, que le canton doit scolariser les enfants qui y sont domiciliés et veiller à ce qu'ils le soient, aucune disposition constitutionnelle ou légale ne fait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donc écarté. 12) Se pose la question de savoir si la décision querellée induit une discrimination au sens de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intéressés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enfants du couple ne peuvent ainsi pas déduire de l'art. 3 al. 6 de l'annexe I ALCP un droit à être admis dans l'enseignement primaire public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 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le couple souhaite inscrire leurs enfants dans l'enseignement primaire public et la France, pays dans lequel ceux-ci résident, sont parties à l'ALCP.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des enfants du couple à être scolarisés à Genève leur est dénié non pas en raison de leur nationalité, mais en raison du fait qu'ils n'y sont pas domiciliés. Ils ne sont en conséquence pas victimes d'une discrimination directe. c. Il en va par contre autrement de la discrimination indirecte, la question pouvant éventuellement se poser compte tenu de l'élément d'extranéité lié au lieu de résidence.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 225/15 du 8 septembre 2016, point 40 ; CJUE, arrêt Liga Portuguesa de Futebol Profissional et Bwin International, C-42/07 du 8 septembre 2009, point 56). Comme le prévoit l'art. 16 §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1er juin 2002. b. Il convient toutefois de se souvenir que l'art. 23 REP ne limite en aucune manière le droit d'accès à l'enseignement primaire public genevois. Au contraire, comme cela a été décrit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énoncée plus haut), qui concernent la formation pour les personnes handicapées et la coordination scolaire, ne constituent toutefois pas des mesures restrictives à l'égard des bénéficiaires de l'ALCP. 22) Les parents n'indiquent pas quelles éventuelles dispositions conventionnelles, légales ou réglementaires, mis à part l'art. 23 al. 1 let. a REP dont les enfants ne remplissent pas les conditions, imposeraient aux autorités genevoises d'admettre ceux-ci dans l'enseignement primaire public genevois du seul fait que leurs parents y paient des impôts. Ils soutiennent par ailleurs que leurs enfants et / ou eux-mêmes seraient victimes d'une violation de sa liberté d'établissement. a. Selon l'art. 24 de la Constitution fédérale de la Confédération suisse du 18 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 Cela étant, les parents ne démontrent pas en quoi la crise du logement sévissant à Genève leur interdirait, à eux dont l'un est de nationalité suisse, de venir s'établir dans ce canton ou ailleurs sur le territoire de la Confédération. Dans le même sens, si leur souhait de garantir le besoin de stabilité de leurs enfants est légitime, il n'impose aucunement à l'intimé d'admettre ceux-ci dans son système scolaire obligatoire en prévision d'un hypothétique déménagement dans le canton de Genève. Si cette hypothèse se réalisait, il appartiendrait aux parents, vu leur domicile genevois, d'effectuer des démarches en vue de l'admission de leurs fils à l'école genevoise.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l'enfant du couple. Il est précisé que l'ATF 136 II 242 invoqué par les intéressés concerne le principe de non-discrimination devant l'impôt, et non concernant d'autres domaines. 23) Enfin, les parents soulèvent les griefs de violation du droit à l'égalité de traitement et de l'interdiction de la discrimination. La décision querellée violerait le principe de l'égalité de traitement entre les élèves de primaires et les enfants fréquentant l'enseignement secondaire II et tertiaire B. Il n'existerait aucun motif justifiant valablement cette violation. 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c. En l'espèce, les parents ne démontrent pas que le département aurait traité différemment d'autres enfants se trouvant dans une situation identique à celle de leurs enfants. Le département fait à juste titre valoir que les réglementations portant sur l'enseignement secondaire II et tertiaire B ont des finalités différentes de celles de l'école dite obligatoire (école primaire et cycle d'orientation) jusqu'à 15 ans, scolarisation gratuite et obligatoire des deux côtés de la frontière, ce qui justifie des conditions d'admission différentes pour l'enseignement secondaire II et tertiaire B (art. 19 et 19a du règlement de l'enseignement secondaire II et tertiaire B du 29 juin 2016 - REST - C 1 10.31). Par ailleurs, comme cela a déjà été examiné plus haut, le refus du département d'intégrer les élèves dans l'enseignement primaire public à Genève découle en outre, à l'exclusion de toute considération relative à sa nationalité ou autre élément en lien avec sa personne, du seul fait qu'ils ne sont pas domiciliés dans le canton. 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 24) Au vu de ce qui précède, le recours sera rejeté. 25) Vu l'issue du litige, un émolument de CHF 400.- sera mis à la charge des parents,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